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898F" w14:textId="77777777" w:rsidR="00363924" w:rsidRDefault="00363924" w:rsidP="00845C18">
      <w:pPr>
        <w:rPr>
          <w:b/>
          <w:bCs/>
        </w:rPr>
      </w:pPr>
    </w:p>
    <w:p w14:paraId="600AFBBA" w14:textId="77777777" w:rsidR="001B7128" w:rsidRDefault="001B7128" w:rsidP="001B7128">
      <w:pPr>
        <w:pStyle w:val="NormalWeb"/>
        <w:spacing w:before="0" w:beforeAutospacing="0" w:after="0" w:afterAutospacing="0"/>
        <w:rPr>
          <w:rFonts w:ascii="Calibri" w:hAnsi="Calibri" w:cs="Calibri"/>
        </w:rPr>
      </w:pPr>
      <w:r>
        <w:rPr>
          <w:b/>
          <w:bCs/>
        </w:rPr>
        <w:t xml:space="preserve">Meeting Date: </w:t>
      </w:r>
      <w:r>
        <w:t>22-Sep-22 13:00</w:t>
      </w:r>
    </w:p>
    <w:p w14:paraId="2067F9DF" w14:textId="77777777" w:rsidR="001B7128" w:rsidRDefault="001B7128" w:rsidP="001B7128">
      <w:pPr>
        <w:pStyle w:val="NormalWeb"/>
        <w:spacing w:before="0" w:beforeAutospacing="0" w:after="0" w:afterAutospacing="0"/>
      </w:pPr>
      <w:r>
        <w:rPr>
          <w:b/>
          <w:bCs/>
        </w:rPr>
        <w:t xml:space="preserve">Locations: </w:t>
      </w:r>
      <w:r>
        <w:t>[1] Vermont Department of State’s Attorneys and Sheriff’s, 110 State Street, 2</w:t>
      </w:r>
      <w:r>
        <w:rPr>
          <w:vertAlign w:val="superscript"/>
        </w:rPr>
        <w:t>nd</w:t>
      </w:r>
      <w:r>
        <w:t xml:space="preserve"> Floor, Montpelier, VT 05633-6401. [2] Microsoft Teams Meeting</w:t>
      </w:r>
    </w:p>
    <w:p w14:paraId="4FE997AF" w14:textId="77777777" w:rsidR="001B7128" w:rsidRDefault="001B7128" w:rsidP="001B7128">
      <w:pPr>
        <w:pStyle w:val="NormalWeb"/>
        <w:spacing w:before="0" w:beforeAutospacing="0" w:after="0" w:afterAutospacing="0"/>
      </w:pPr>
      <w:r>
        <w:rPr>
          <w:b/>
          <w:bCs/>
        </w:rPr>
        <w:t>Participants</w:t>
      </w:r>
    </w:p>
    <w:p w14:paraId="4F6CECD7" w14:textId="6345D3B6"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2FDB9ACB" wp14:editId="751C8C78">
            <wp:extent cx="152400" cy="152400"/>
            <wp:effectExtent l="0" t="0" r="0" b="0"/>
            <wp:docPr id="19" name="Picture 1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3" w:history="1">
        <w:r>
          <w:rPr>
            <w:rStyle w:val="Hyperlink"/>
          </w:rPr>
          <w:t>Meenan, Evan</w:t>
        </w:r>
      </w:hyperlink>
      <w:r>
        <w:rPr>
          <w:color w:val="000000"/>
        </w:rPr>
        <w:t xml:space="preserve"> </w:t>
      </w:r>
      <w:r>
        <w:rPr>
          <w:color w:val="7F7F7F"/>
          <w:sz w:val="20"/>
          <w:szCs w:val="20"/>
        </w:rPr>
        <w:t>(Meeting Organizer)</w:t>
      </w:r>
    </w:p>
    <w:p w14:paraId="20C6CCE6" w14:textId="55A5D2C0"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16CE1D37" wp14:editId="77215AD0">
            <wp:extent cx="152400" cy="152400"/>
            <wp:effectExtent l="0" t="0" r="0" b="0"/>
            <wp:docPr id="18" name="Picture 1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4" w:history="1">
        <w:r>
          <w:rPr>
            <w:rStyle w:val="Hyperlink"/>
          </w:rPr>
          <w:t>Davis, Xusana</w:t>
        </w:r>
      </w:hyperlink>
      <w:r>
        <w:rPr>
          <w:color w:val="000000"/>
        </w:rPr>
        <w:t xml:space="preserve"> </w:t>
      </w:r>
      <w:r>
        <w:rPr>
          <w:color w:val="7F7F7F"/>
          <w:sz w:val="20"/>
          <w:szCs w:val="20"/>
        </w:rPr>
        <w:t>(Accepted in Outlook)</w:t>
      </w:r>
    </w:p>
    <w:p w14:paraId="05AF5066" w14:textId="5982EF0E"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7C4374AF" wp14:editId="019202D2">
            <wp:extent cx="152400" cy="152400"/>
            <wp:effectExtent l="0" t="0" r="0" b="0"/>
            <wp:docPr id="17" name="Picture 1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5" w:history="1">
        <w:r>
          <w:rPr>
            <w:rStyle w:val="Hyperlink"/>
          </w:rPr>
          <w:t>Anderson, Mark</w:t>
        </w:r>
      </w:hyperlink>
      <w:r>
        <w:rPr>
          <w:color w:val="000000"/>
        </w:rPr>
        <w:t xml:space="preserve"> </w:t>
      </w:r>
      <w:r>
        <w:rPr>
          <w:color w:val="7F7F7F"/>
          <w:sz w:val="20"/>
          <w:szCs w:val="20"/>
        </w:rPr>
        <w:t>(Accepted in Outlook)</w:t>
      </w:r>
    </w:p>
    <w:p w14:paraId="31AC1F6A" w14:textId="5443783E"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42E05622" wp14:editId="7771652D">
            <wp:extent cx="152400" cy="152400"/>
            <wp:effectExtent l="0" t="0" r="0" b="0"/>
            <wp:docPr id="16" name="Picture 1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Attenda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8" w:history="1">
        <w:r>
          <w:rPr>
            <w:rStyle w:val="Hyperlink"/>
          </w:rPr>
          <w:t>Brian Peete</w:t>
        </w:r>
      </w:hyperlink>
      <w:r>
        <w:rPr>
          <w:color w:val="000000"/>
        </w:rPr>
        <w:t xml:space="preserve"> </w:t>
      </w:r>
      <w:r>
        <w:rPr>
          <w:color w:val="7F7F7F"/>
          <w:sz w:val="20"/>
          <w:szCs w:val="20"/>
        </w:rPr>
        <w:t>(Accepted in Outlook)</w:t>
      </w:r>
    </w:p>
    <w:p w14:paraId="333DEE7D" w14:textId="76AA2D60"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33553A3B" wp14:editId="7A826002">
            <wp:extent cx="152400" cy="152400"/>
            <wp:effectExtent l="0" t="0" r="0" b="0"/>
            <wp:docPr id="15" name="Picture 1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9" w:history="1">
        <w:r>
          <w:rPr>
            <w:rStyle w:val="Hyperlink"/>
          </w:rPr>
          <w:t>Jones, Tucker</w:t>
        </w:r>
      </w:hyperlink>
    </w:p>
    <w:p w14:paraId="69F3081A" w14:textId="1D55422E"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67A7C824" wp14:editId="57ACDADD">
            <wp:extent cx="152400" cy="152400"/>
            <wp:effectExtent l="0" t="0" r="0" b="0"/>
            <wp:docPr id="14" name="Picture 1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0" w:history="1">
        <w:r>
          <w:rPr>
            <w:rStyle w:val="Hyperlink"/>
          </w:rPr>
          <w:t>Jacobsen, Erin</w:t>
        </w:r>
      </w:hyperlink>
      <w:r>
        <w:rPr>
          <w:color w:val="000000"/>
        </w:rPr>
        <w:t xml:space="preserve"> </w:t>
      </w:r>
      <w:r>
        <w:rPr>
          <w:color w:val="7F7F7F"/>
          <w:sz w:val="20"/>
          <w:szCs w:val="20"/>
        </w:rPr>
        <w:t>(Accepted in Outlook)</w:t>
      </w:r>
    </w:p>
    <w:p w14:paraId="2B8AAD5B" w14:textId="60CA6547"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2AB5FDB2" wp14:editId="2EED4DB2">
            <wp:extent cx="152400" cy="152400"/>
            <wp:effectExtent l="0" t="0" r="0" b="0"/>
            <wp:docPr id="13" name="Picture 1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proofErr w:type="spellStart"/>
      <w:r>
        <w:rPr>
          <w:color w:val="000000"/>
        </w:rPr>
        <w:fldChar w:fldCharType="begin"/>
      </w:r>
      <w:r>
        <w:rPr>
          <w:color w:val="000000"/>
        </w:rPr>
        <w:instrText xml:space="preserve"> HYPERLINK "mailto:Marshall.Pahl@vermont.gov" </w:instrText>
      </w:r>
      <w:r>
        <w:rPr>
          <w:color w:val="000000"/>
        </w:rPr>
        <w:fldChar w:fldCharType="separate"/>
      </w:r>
      <w:r>
        <w:rPr>
          <w:rStyle w:val="Hyperlink"/>
        </w:rPr>
        <w:t>Pahl</w:t>
      </w:r>
      <w:proofErr w:type="spellEnd"/>
      <w:r>
        <w:rPr>
          <w:rStyle w:val="Hyperlink"/>
        </w:rPr>
        <w:t>, Marshall</w:t>
      </w:r>
      <w:r>
        <w:rPr>
          <w:color w:val="000000"/>
        </w:rPr>
        <w:fldChar w:fldCharType="end"/>
      </w:r>
    </w:p>
    <w:p w14:paraId="022942B8" w14:textId="4120EC25"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22D26FBB" wp14:editId="2E279F8F">
            <wp:extent cx="152400" cy="152400"/>
            <wp:effectExtent l="0" t="0" r="0" b="0"/>
            <wp:docPr id="12" name="Picture 1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Attenda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1" w:history="1">
        <w:r>
          <w:rPr>
            <w:rStyle w:val="Hyperlink"/>
          </w:rPr>
          <w:t>Simons, Heather</w:t>
        </w:r>
      </w:hyperlink>
    </w:p>
    <w:p w14:paraId="03F14B57" w14:textId="602AA296"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7E151925" wp14:editId="47DC0EA5">
            <wp:extent cx="152400" cy="152400"/>
            <wp:effectExtent l="0" t="0" r="0" b="0"/>
            <wp:docPr id="11" name="Picture 1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2" w:history="1">
        <w:r>
          <w:rPr>
            <w:rStyle w:val="Hyperlink"/>
          </w:rPr>
          <w:t>Karen N. Dolan</w:t>
        </w:r>
      </w:hyperlink>
      <w:r>
        <w:rPr>
          <w:color w:val="000000"/>
        </w:rPr>
        <w:t xml:space="preserve"> </w:t>
      </w:r>
      <w:r>
        <w:rPr>
          <w:color w:val="7F7F7F"/>
          <w:sz w:val="20"/>
          <w:szCs w:val="20"/>
        </w:rPr>
        <w:t>(Accepted in Outlook)</w:t>
      </w:r>
    </w:p>
    <w:p w14:paraId="5AE3E873" w14:textId="657244B1"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0A7293D6" wp14:editId="6E3AEBBB">
            <wp:extent cx="152400" cy="152400"/>
            <wp:effectExtent l="0" t="0" r="0" b="0"/>
            <wp:docPr id="10" name="Picture 1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3" w:history="1">
        <w:r>
          <w:rPr>
            <w:rStyle w:val="Hyperlink"/>
          </w:rPr>
          <w:t>tburditt@leg.state.vt.us</w:t>
        </w:r>
      </w:hyperlink>
      <w:r>
        <w:rPr>
          <w:color w:val="000000"/>
        </w:rPr>
        <w:t xml:space="preserve"> </w:t>
      </w:r>
      <w:r>
        <w:rPr>
          <w:color w:val="7F7F7F"/>
          <w:sz w:val="20"/>
          <w:szCs w:val="20"/>
        </w:rPr>
        <w:t>(Accepted in Outlook)</w:t>
      </w:r>
    </w:p>
    <w:p w14:paraId="74597C2D" w14:textId="0E1F9E0D"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689E21BA" wp14:editId="30AD9450">
            <wp:extent cx="152400" cy="152400"/>
            <wp:effectExtent l="0" t="0" r="0" b="0"/>
            <wp:docPr id="9" name="Picture 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ttenda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4" w:history="1">
        <w:r>
          <w:rPr>
            <w:rStyle w:val="Hyperlink"/>
          </w:rPr>
          <w:t xml:space="preserve">Philip </w:t>
        </w:r>
        <w:proofErr w:type="spellStart"/>
        <w:r>
          <w:rPr>
            <w:rStyle w:val="Hyperlink"/>
          </w:rPr>
          <w:t>Baruth</w:t>
        </w:r>
        <w:proofErr w:type="spellEnd"/>
      </w:hyperlink>
    </w:p>
    <w:p w14:paraId="27FDB74C" w14:textId="03E6F88D"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1580C420" wp14:editId="1D2DDF94">
            <wp:extent cx="152400" cy="152400"/>
            <wp:effectExtent l="0" t="0" r="0" b="0"/>
            <wp:docPr id="8" name="Picture 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 Attenda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5" w:history="1">
        <w:r>
          <w:rPr>
            <w:rStyle w:val="Hyperlink"/>
          </w:rPr>
          <w:t>Corey Parent</w:t>
        </w:r>
      </w:hyperlink>
      <w:r>
        <w:rPr>
          <w:color w:val="000000"/>
        </w:rPr>
        <w:t xml:space="preserve"> </w:t>
      </w:r>
      <w:r>
        <w:rPr>
          <w:color w:val="7F7F7F"/>
          <w:sz w:val="20"/>
          <w:szCs w:val="20"/>
        </w:rPr>
        <w:t>(Accepted in Outlook)</w:t>
      </w:r>
    </w:p>
    <w:p w14:paraId="4B6D9648" w14:textId="14028F30"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07F0B427" wp14:editId="58C83769">
            <wp:extent cx="152400" cy="152400"/>
            <wp:effectExtent l="0" t="0" r="0" b="0"/>
            <wp:docPr id="7" name="Picture 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6" w:history="1">
        <w:r>
          <w:rPr>
            <w:rStyle w:val="Hyperlink"/>
          </w:rPr>
          <w:t>Hibbert, S. Lauren</w:t>
        </w:r>
      </w:hyperlink>
      <w:r>
        <w:rPr>
          <w:color w:val="000000"/>
        </w:rPr>
        <w:t xml:space="preserve"> </w:t>
      </w:r>
      <w:r>
        <w:rPr>
          <w:color w:val="7F7F7F"/>
          <w:sz w:val="20"/>
          <w:szCs w:val="20"/>
        </w:rPr>
        <w:t>(Accepted in Outlook)</w:t>
      </w:r>
    </w:p>
    <w:p w14:paraId="462B206C" w14:textId="79140692"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383BFC4F" wp14:editId="225D8715">
            <wp:extent cx="152400" cy="152400"/>
            <wp:effectExtent l="0" t="0" r="0" b="0"/>
            <wp:docPr id="6" name="Picture 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7" w:history="1">
        <w:r>
          <w:rPr>
            <w:rStyle w:val="Hyperlink"/>
          </w:rPr>
          <w:t>Brickell, Christopher</w:t>
        </w:r>
      </w:hyperlink>
      <w:r>
        <w:rPr>
          <w:color w:val="000000"/>
        </w:rPr>
        <w:t xml:space="preserve"> </w:t>
      </w:r>
      <w:r>
        <w:rPr>
          <w:color w:val="7F7F7F"/>
          <w:sz w:val="20"/>
          <w:szCs w:val="20"/>
        </w:rPr>
        <w:t>(Accepted in Outlook)</w:t>
      </w:r>
    </w:p>
    <w:p w14:paraId="7F87A805" w14:textId="33F2B9D8"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704B28C1" wp14:editId="2E23F174">
            <wp:extent cx="152400" cy="152400"/>
            <wp:effectExtent l="0" t="0" r="0" b="0"/>
            <wp:docPr id="4" name="Picture 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ttenda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8" w:history="1">
        <w:r>
          <w:rPr>
            <w:rStyle w:val="Hyperlink"/>
          </w:rPr>
          <w:t>Greene, Jay (they/them)</w:t>
        </w:r>
      </w:hyperlink>
      <w:r>
        <w:rPr>
          <w:color w:val="000000"/>
        </w:rPr>
        <w:t xml:space="preserve"> </w:t>
      </w:r>
      <w:r>
        <w:rPr>
          <w:color w:val="7F7F7F"/>
          <w:sz w:val="20"/>
          <w:szCs w:val="20"/>
        </w:rPr>
        <w:t>(Declined in Outlook)</w:t>
      </w:r>
    </w:p>
    <w:p w14:paraId="1245D163" w14:textId="6188F933"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0E676DF3" wp14:editId="2C480232">
            <wp:extent cx="152400" cy="152400"/>
            <wp:effectExtent l="0" t="0" r="0" b="0"/>
            <wp:docPr id="3" name="Picture 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Attenda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9" w:history="1">
        <w:r>
          <w:rPr>
            <w:rStyle w:val="Hyperlink"/>
          </w:rPr>
          <w:t>Morrison, Jennifer</w:t>
        </w:r>
      </w:hyperlink>
      <w:r>
        <w:rPr>
          <w:color w:val="000000"/>
        </w:rPr>
        <w:t xml:space="preserve"> </w:t>
      </w:r>
      <w:r>
        <w:rPr>
          <w:color w:val="7F7F7F"/>
          <w:sz w:val="20"/>
          <w:szCs w:val="20"/>
        </w:rPr>
        <w:t>(Tentative in Outlook)</w:t>
      </w:r>
    </w:p>
    <w:p w14:paraId="1B7E8953" w14:textId="1DA39828" w:rsidR="001B7128" w:rsidRDefault="001B7128" w:rsidP="001B7128">
      <w:pPr>
        <w:pStyle w:val="NormalWeb"/>
        <w:spacing w:before="0" w:beforeAutospacing="0" w:after="0" w:afterAutospacing="0"/>
        <w:ind w:left="540" w:hanging="239"/>
        <w:rPr>
          <w:color w:val="000000"/>
        </w:rPr>
      </w:pPr>
      <w:r>
        <w:rPr>
          <w:noProof/>
          <w:color w:val="000000"/>
        </w:rPr>
        <w:drawing>
          <wp:inline distT="0" distB="0" distL="0" distR="0" wp14:anchorId="30F1C43E" wp14:editId="110C3D98">
            <wp:extent cx="152400" cy="152400"/>
            <wp:effectExtent l="0" t="0" r="0" b="0"/>
            <wp:docPr id="2" name="Picture 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30" w:history="1">
        <w:r>
          <w:rPr>
            <w:rStyle w:val="Hyperlink"/>
          </w:rPr>
          <w:t>Frank, Jennifer</w:t>
        </w:r>
      </w:hyperlink>
    </w:p>
    <w:p w14:paraId="6066FE21" w14:textId="77777777" w:rsidR="001B7128" w:rsidRDefault="001B7128" w:rsidP="001B7128">
      <w:pPr>
        <w:pStyle w:val="NormalWeb"/>
        <w:spacing w:before="0" w:beforeAutospacing="0" w:after="0" w:afterAutospacing="0"/>
      </w:pPr>
      <w:r>
        <w:t> </w:t>
      </w:r>
    </w:p>
    <w:p w14:paraId="6A30350B" w14:textId="77777777" w:rsidR="001B7128" w:rsidRDefault="001B7128" w:rsidP="001B7128">
      <w:pPr>
        <w:pStyle w:val="Heading1"/>
        <w:spacing w:before="0"/>
        <w:rPr>
          <w:rFonts w:eastAsia="Times New Roman"/>
          <w:color w:val="1E4E79"/>
        </w:rPr>
      </w:pPr>
      <w:r>
        <w:rPr>
          <w:rFonts w:eastAsia="Times New Roman"/>
          <w:color w:val="1E4E79"/>
        </w:rPr>
        <w:t>Notes</w:t>
      </w:r>
    </w:p>
    <w:p w14:paraId="566FC6E7" w14:textId="77777777" w:rsidR="001B7128" w:rsidRDefault="001B7128" w:rsidP="001B7128">
      <w:pPr>
        <w:pStyle w:val="NormalWeb"/>
        <w:spacing w:before="0" w:beforeAutospacing="0" w:after="0" w:afterAutospacing="0"/>
        <w:rPr>
          <w:rFonts w:eastAsiaTheme="minorHAnsi"/>
          <w:sz w:val="22"/>
          <w:szCs w:val="22"/>
        </w:rPr>
      </w:pPr>
      <w:r>
        <w:t>Minutes taken by Xusana Davis.</w:t>
      </w:r>
    </w:p>
    <w:p w14:paraId="192E78F1" w14:textId="77777777" w:rsidR="001B7128" w:rsidRDefault="001B7128" w:rsidP="001B7128">
      <w:pPr>
        <w:pStyle w:val="NormalWeb"/>
        <w:spacing w:before="0" w:beforeAutospacing="0" w:after="0" w:afterAutospacing="0"/>
      </w:pPr>
      <w:r>
        <w:t>Meeting called to order at 1:05.</w:t>
      </w:r>
    </w:p>
    <w:p w14:paraId="26E2740B" w14:textId="77777777" w:rsidR="001B7128" w:rsidRDefault="001B7128" w:rsidP="001B7128">
      <w:pPr>
        <w:pStyle w:val="NormalWeb"/>
        <w:spacing w:before="0" w:beforeAutospacing="0" w:after="0" w:afterAutospacing="0"/>
      </w:pPr>
      <w:r>
        <w:t> </w:t>
      </w:r>
    </w:p>
    <w:p w14:paraId="588A9034" w14:textId="77777777" w:rsidR="001B7128" w:rsidRDefault="001B7128" w:rsidP="001B7128">
      <w:pPr>
        <w:pStyle w:val="NormalWeb"/>
        <w:spacing w:before="0" w:beforeAutospacing="0" w:after="0" w:afterAutospacing="0"/>
      </w:pPr>
      <w:r>
        <w:rPr>
          <w:b/>
          <w:bCs/>
          <w:u w:val="single"/>
        </w:rPr>
        <w:t>Agenda</w:t>
      </w:r>
    </w:p>
    <w:p w14:paraId="56CAFC4C" w14:textId="77777777" w:rsidR="001B7128" w:rsidRDefault="001B7128" w:rsidP="001B7128">
      <w:pPr>
        <w:numPr>
          <w:ilvl w:val="0"/>
          <w:numId w:val="42"/>
        </w:numPr>
        <w:textAlignment w:val="center"/>
        <w:rPr>
          <w:rFonts w:eastAsia="Times New Roman"/>
        </w:rPr>
      </w:pPr>
      <w:r>
        <w:rPr>
          <w:rFonts w:eastAsia="Times New Roman"/>
        </w:rPr>
        <w:t xml:space="preserve">Call to order. </w:t>
      </w:r>
    </w:p>
    <w:p w14:paraId="443DCE8B" w14:textId="77777777" w:rsidR="001B7128" w:rsidRDefault="001B7128" w:rsidP="001B7128">
      <w:pPr>
        <w:numPr>
          <w:ilvl w:val="0"/>
          <w:numId w:val="42"/>
        </w:numPr>
        <w:textAlignment w:val="center"/>
        <w:rPr>
          <w:rFonts w:eastAsia="Times New Roman"/>
        </w:rPr>
      </w:pPr>
      <w:r>
        <w:rPr>
          <w:rFonts w:eastAsia="Times New Roman"/>
        </w:rPr>
        <w:t xml:space="preserve">Approval of the Minutes from the Committee’s August 24, </w:t>
      </w:r>
      <w:proofErr w:type="gramStart"/>
      <w:r>
        <w:rPr>
          <w:rFonts w:eastAsia="Times New Roman"/>
        </w:rPr>
        <w:t>2022</w:t>
      </w:r>
      <w:proofErr w:type="gramEnd"/>
      <w:r>
        <w:rPr>
          <w:rFonts w:eastAsia="Times New Roman"/>
        </w:rPr>
        <w:t xml:space="preserve"> meeting. </w:t>
      </w:r>
    </w:p>
    <w:p w14:paraId="122989A8" w14:textId="77777777" w:rsidR="001B7128" w:rsidRDefault="001B7128" w:rsidP="001B7128">
      <w:pPr>
        <w:numPr>
          <w:ilvl w:val="0"/>
          <w:numId w:val="42"/>
        </w:numPr>
        <w:textAlignment w:val="center"/>
        <w:rPr>
          <w:rFonts w:eastAsia="Times New Roman"/>
        </w:rPr>
      </w:pPr>
      <w:r>
        <w:rPr>
          <w:rFonts w:eastAsia="Times New Roman"/>
        </w:rPr>
        <w:t>Discussion with Lauren Hibbert from the Secretary of State’s Office re: recommendation to house database in Secretary of State’s Office.</w:t>
      </w:r>
    </w:p>
    <w:p w14:paraId="5E92BFBB" w14:textId="77777777" w:rsidR="001B7128" w:rsidRDefault="001B7128" w:rsidP="001B7128">
      <w:pPr>
        <w:numPr>
          <w:ilvl w:val="0"/>
          <w:numId w:val="42"/>
        </w:numPr>
        <w:textAlignment w:val="center"/>
        <w:rPr>
          <w:rFonts w:eastAsia="Times New Roman"/>
        </w:rPr>
      </w:pPr>
      <w:r>
        <w:rPr>
          <w:rFonts w:eastAsia="Times New Roman"/>
        </w:rPr>
        <w:t>Discussion of decision points in Act 161 (2022) Sec. 2(c).</w:t>
      </w:r>
    </w:p>
    <w:p w14:paraId="3ED250A2" w14:textId="77777777" w:rsidR="001B7128" w:rsidRDefault="001B7128" w:rsidP="001B7128">
      <w:pPr>
        <w:numPr>
          <w:ilvl w:val="0"/>
          <w:numId w:val="42"/>
        </w:numPr>
        <w:textAlignment w:val="center"/>
        <w:rPr>
          <w:rFonts w:eastAsia="Times New Roman"/>
        </w:rPr>
      </w:pPr>
      <w:r>
        <w:rPr>
          <w:rFonts w:eastAsia="Times New Roman"/>
        </w:rPr>
        <w:t>Opportunity for Public Comment.</w:t>
      </w:r>
    </w:p>
    <w:p w14:paraId="256C3FAE" w14:textId="77777777" w:rsidR="001B7128" w:rsidRDefault="001B7128" w:rsidP="001B7128">
      <w:pPr>
        <w:numPr>
          <w:ilvl w:val="0"/>
          <w:numId w:val="42"/>
        </w:numPr>
        <w:textAlignment w:val="center"/>
        <w:rPr>
          <w:rFonts w:eastAsia="Times New Roman"/>
        </w:rPr>
      </w:pPr>
      <w:r>
        <w:rPr>
          <w:rFonts w:eastAsia="Times New Roman"/>
        </w:rPr>
        <w:t>Set agenda for next meeting(s).</w:t>
      </w:r>
    </w:p>
    <w:p w14:paraId="44D3AE1C" w14:textId="77777777" w:rsidR="001B7128" w:rsidRDefault="001B7128" w:rsidP="001B7128">
      <w:pPr>
        <w:numPr>
          <w:ilvl w:val="0"/>
          <w:numId w:val="42"/>
        </w:numPr>
        <w:textAlignment w:val="center"/>
        <w:rPr>
          <w:rFonts w:eastAsia="Times New Roman"/>
        </w:rPr>
      </w:pPr>
      <w:r>
        <w:rPr>
          <w:rFonts w:eastAsia="Times New Roman"/>
        </w:rPr>
        <w:t>Adjourn.</w:t>
      </w:r>
    </w:p>
    <w:p w14:paraId="07CB2EFC" w14:textId="77777777" w:rsidR="001B7128" w:rsidRDefault="001B7128" w:rsidP="001B7128">
      <w:pPr>
        <w:pStyle w:val="NormalWeb"/>
        <w:spacing w:before="0" w:beforeAutospacing="0" w:after="0" w:afterAutospacing="0"/>
        <w:rPr>
          <w:rFonts w:eastAsiaTheme="minorHAnsi"/>
        </w:rPr>
      </w:pPr>
      <w:r>
        <w:t> </w:t>
      </w:r>
    </w:p>
    <w:p w14:paraId="18D61F9D" w14:textId="77777777" w:rsidR="001B7128" w:rsidRDefault="001B7128" w:rsidP="001B7128">
      <w:pPr>
        <w:pStyle w:val="NormalWeb"/>
        <w:spacing w:before="0" w:beforeAutospacing="0" w:after="0" w:afterAutospacing="0"/>
      </w:pPr>
      <w:r>
        <w:rPr>
          <w:b/>
          <w:bCs/>
          <w:u w:val="single"/>
        </w:rPr>
        <w:t xml:space="preserve">Approval of August 24, </w:t>
      </w:r>
      <w:proofErr w:type="gramStart"/>
      <w:r>
        <w:rPr>
          <w:b/>
          <w:bCs/>
          <w:u w:val="single"/>
        </w:rPr>
        <w:t>2022</w:t>
      </w:r>
      <w:proofErr w:type="gramEnd"/>
      <w:r>
        <w:rPr>
          <w:b/>
          <w:bCs/>
          <w:u w:val="single"/>
        </w:rPr>
        <w:t xml:space="preserve"> Minutes</w:t>
      </w:r>
    </w:p>
    <w:p w14:paraId="69878800" w14:textId="77777777" w:rsidR="001B7128" w:rsidRDefault="001B7128" w:rsidP="001B7128">
      <w:pPr>
        <w:numPr>
          <w:ilvl w:val="0"/>
          <w:numId w:val="43"/>
        </w:numPr>
        <w:textAlignment w:val="center"/>
        <w:rPr>
          <w:rFonts w:eastAsia="Times New Roman"/>
        </w:rPr>
      </w:pPr>
      <w:r>
        <w:rPr>
          <w:rFonts w:eastAsia="Times New Roman"/>
        </w:rPr>
        <w:t>Motion to approve: Erin JACOBSEN</w:t>
      </w:r>
    </w:p>
    <w:p w14:paraId="0F794A29" w14:textId="77777777" w:rsidR="001B7128" w:rsidRDefault="001B7128" w:rsidP="001B7128">
      <w:pPr>
        <w:numPr>
          <w:ilvl w:val="0"/>
          <w:numId w:val="43"/>
        </w:numPr>
        <w:textAlignment w:val="center"/>
        <w:rPr>
          <w:rFonts w:eastAsia="Times New Roman"/>
        </w:rPr>
      </w:pPr>
      <w:r>
        <w:rPr>
          <w:rFonts w:eastAsia="Times New Roman"/>
        </w:rPr>
        <w:lastRenderedPageBreak/>
        <w:t>Second: Mark ANDERSON</w:t>
      </w:r>
    </w:p>
    <w:p w14:paraId="3B1EB86C" w14:textId="77777777" w:rsidR="001B7128" w:rsidRDefault="001B7128" w:rsidP="001B7128">
      <w:pPr>
        <w:numPr>
          <w:ilvl w:val="0"/>
          <w:numId w:val="43"/>
        </w:numPr>
        <w:textAlignment w:val="center"/>
        <w:rPr>
          <w:rFonts w:eastAsia="Times New Roman"/>
        </w:rPr>
      </w:pPr>
      <w:r>
        <w:rPr>
          <w:rFonts w:eastAsia="Times New Roman"/>
        </w:rPr>
        <w:t>Vote Outcomes</w:t>
      </w:r>
    </w:p>
    <w:p w14:paraId="2495E38C" w14:textId="77777777" w:rsidR="001B7128" w:rsidRDefault="001B7128" w:rsidP="001B7128">
      <w:pPr>
        <w:numPr>
          <w:ilvl w:val="1"/>
          <w:numId w:val="43"/>
        </w:numPr>
        <w:textAlignment w:val="center"/>
        <w:rPr>
          <w:rFonts w:eastAsia="Times New Roman"/>
        </w:rPr>
      </w:pPr>
      <w:r>
        <w:rPr>
          <w:rFonts w:eastAsia="Times New Roman"/>
        </w:rPr>
        <w:t>Aye: Christopher BRICKELL, Tom BURDITT, Tucker JONES, Karen DOLAN, Jennifer FRANK, Mark ANDERSON, Erin JACOBSEN</w:t>
      </w:r>
    </w:p>
    <w:p w14:paraId="2547434F" w14:textId="77777777" w:rsidR="001B7128" w:rsidRDefault="001B7128" w:rsidP="001B7128">
      <w:pPr>
        <w:numPr>
          <w:ilvl w:val="1"/>
          <w:numId w:val="43"/>
        </w:numPr>
        <w:textAlignment w:val="center"/>
        <w:rPr>
          <w:rFonts w:eastAsia="Times New Roman"/>
        </w:rPr>
      </w:pPr>
      <w:r>
        <w:rPr>
          <w:rFonts w:eastAsia="Times New Roman"/>
        </w:rPr>
        <w:t>Nay: [None]</w:t>
      </w:r>
    </w:p>
    <w:p w14:paraId="39EDF22F" w14:textId="77777777" w:rsidR="001B7128" w:rsidRDefault="001B7128" w:rsidP="001B7128">
      <w:pPr>
        <w:numPr>
          <w:ilvl w:val="1"/>
          <w:numId w:val="43"/>
        </w:numPr>
        <w:textAlignment w:val="center"/>
        <w:rPr>
          <w:rFonts w:eastAsia="Times New Roman"/>
        </w:rPr>
      </w:pPr>
      <w:r>
        <w:rPr>
          <w:rFonts w:eastAsia="Times New Roman"/>
        </w:rPr>
        <w:t>Abstain: Evan MEENAN (was not present for the meeting in question)</w:t>
      </w:r>
    </w:p>
    <w:p w14:paraId="7870CFA9" w14:textId="77777777" w:rsidR="001B7128" w:rsidRDefault="001B7128" w:rsidP="001B7128">
      <w:pPr>
        <w:numPr>
          <w:ilvl w:val="1"/>
          <w:numId w:val="43"/>
        </w:numPr>
        <w:textAlignment w:val="center"/>
        <w:rPr>
          <w:rFonts w:eastAsia="Times New Roman"/>
        </w:rPr>
      </w:pPr>
      <w:r>
        <w:rPr>
          <w:rFonts w:eastAsia="Times New Roman"/>
        </w:rPr>
        <w:t>Result: Minutes approved.</w:t>
      </w:r>
    </w:p>
    <w:p w14:paraId="1ADB7764" w14:textId="77777777" w:rsidR="001B7128" w:rsidRDefault="001B7128" w:rsidP="001B7128">
      <w:pPr>
        <w:pStyle w:val="NormalWeb"/>
        <w:spacing w:before="0" w:beforeAutospacing="0" w:after="0" w:afterAutospacing="0"/>
        <w:rPr>
          <w:rFonts w:eastAsiaTheme="minorHAnsi"/>
        </w:rPr>
      </w:pPr>
      <w:r>
        <w:t> </w:t>
      </w:r>
    </w:p>
    <w:p w14:paraId="707FE781" w14:textId="77777777" w:rsidR="001B7128" w:rsidRDefault="001B7128" w:rsidP="001B7128">
      <w:pPr>
        <w:pStyle w:val="NormalWeb"/>
        <w:spacing w:before="0" w:beforeAutospacing="0" w:after="0" w:afterAutospacing="0"/>
      </w:pPr>
      <w:r>
        <w:rPr>
          <w:b/>
          <w:bCs/>
          <w:u w:val="single"/>
        </w:rPr>
        <w:t>Discussion with Secretary of State's Office</w:t>
      </w:r>
    </w:p>
    <w:p w14:paraId="75E13832" w14:textId="77777777" w:rsidR="001B7128" w:rsidRDefault="001B7128" w:rsidP="001B7128">
      <w:pPr>
        <w:numPr>
          <w:ilvl w:val="0"/>
          <w:numId w:val="44"/>
        </w:numPr>
        <w:textAlignment w:val="center"/>
        <w:rPr>
          <w:rFonts w:eastAsia="Times New Roman"/>
        </w:rPr>
      </w:pPr>
      <w:r>
        <w:rPr>
          <w:rFonts w:eastAsia="Times New Roman"/>
        </w:rPr>
        <w:t xml:space="preserve">At its August meeting, the Committee discussed the possibility of housing a </w:t>
      </w:r>
      <w:r>
        <w:rPr>
          <w:rFonts w:eastAsia="Times New Roman"/>
          <w:i/>
          <w:iCs/>
        </w:rPr>
        <w:t>Giglio</w:t>
      </w:r>
      <w:r>
        <w:rPr>
          <w:rFonts w:eastAsia="Times New Roman"/>
        </w:rPr>
        <w:t xml:space="preserve"> database in the Secretary of State's office (SOS). Lauren Hibbert, Executive Director of the SOS Office of Professional Regulation (OPR), joins the Committee to discuss the implications of placing the database in the Secretary of State's Office.</w:t>
      </w:r>
    </w:p>
    <w:p w14:paraId="5C35CB93" w14:textId="77777777" w:rsidR="001B7128" w:rsidRDefault="001B7128" w:rsidP="001B7128">
      <w:pPr>
        <w:numPr>
          <w:ilvl w:val="1"/>
          <w:numId w:val="44"/>
        </w:numPr>
        <w:textAlignment w:val="center"/>
        <w:rPr>
          <w:rFonts w:eastAsia="Times New Roman"/>
        </w:rPr>
      </w:pPr>
      <w:r>
        <w:rPr>
          <w:rFonts w:eastAsia="Times New Roman"/>
          <w:u w:val="single"/>
        </w:rPr>
        <w:t>Placement &amp; Resources</w:t>
      </w:r>
    </w:p>
    <w:p w14:paraId="16CFB885" w14:textId="77777777" w:rsidR="001B7128" w:rsidRDefault="001B7128" w:rsidP="001B7128">
      <w:pPr>
        <w:numPr>
          <w:ilvl w:val="2"/>
          <w:numId w:val="44"/>
        </w:numPr>
        <w:textAlignment w:val="center"/>
        <w:rPr>
          <w:rFonts w:eastAsia="Times New Roman"/>
        </w:rPr>
      </w:pPr>
      <w:r>
        <w:rPr>
          <w:rFonts w:eastAsia="Times New Roman"/>
        </w:rPr>
        <w:t xml:space="preserve">Understands the desire for having an impartial place to house the database. Asks whether the Attorney General's Office might be a good </w:t>
      </w:r>
      <w:proofErr w:type="gramStart"/>
      <w:r>
        <w:rPr>
          <w:rFonts w:eastAsia="Times New Roman"/>
        </w:rPr>
        <w:t>alternative, but</w:t>
      </w:r>
      <w:proofErr w:type="gramEnd"/>
      <w:r>
        <w:rPr>
          <w:rFonts w:eastAsia="Times New Roman"/>
        </w:rPr>
        <w:t xml:space="preserve"> acknowledged they may not be widely viewed as being impartial enough.</w:t>
      </w:r>
    </w:p>
    <w:p w14:paraId="39E6924B" w14:textId="77777777" w:rsidR="001B7128" w:rsidRDefault="001B7128" w:rsidP="001B7128">
      <w:pPr>
        <w:numPr>
          <w:ilvl w:val="2"/>
          <w:numId w:val="44"/>
        </w:numPr>
        <w:textAlignment w:val="center"/>
        <w:rPr>
          <w:rFonts w:eastAsia="Times New Roman"/>
        </w:rPr>
      </w:pPr>
      <w:r>
        <w:rPr>
          <w:rFonts w:eastAsia="Times New Roman"/>
        </w:rPr>
        <w:t>Notes that SOS does have the physical/technological capacity to maintain the database.</w:t>
      </w:r>
    </w:p>
    <w:p w14:paraId="5D872820" w14:textId="77777777" w:rsidR="001B7128" w:rsidRDefault="001B7128" w:rsidP="001B7128">
      <w:pPr>
        <w:numPr>
          <w:ilvl w:val="2"/>
          <w:numId w:val="44"/>
        </w:numPr>
        <w:textAlignment w:val="center"/>
        <w:rPr>
          <w:rFonts w:eastAsia="Times New Roman"/>
        </w:rPr>
      </w:pPr>
      <w:r>
        <w:rPr>
          <w:rFonts w:eastAsia="Times New Roman"/>
        </w:rPr>
        <w:t xml:space="preserve">Notes that funding is a potential barrier: The Office of Professional Regulation is a "special fund" funded by licensing fees. Would need a General Fund allocation for the work and would need to understand the full scope of the work to know what sort of staffing requests, if any, to make. </w:t>
      </w:r>
    </w:p>
    <w:p w14:paraId="251B4E82" w14:textId="77777777" w:rsidR="001B7128" w:rsidRDefault="001B7128" w:rsidP="001B7128">
      <w:pPr>
        <w:numPr>
          <w:ilvl w:val="3"/>
          <w:numId w:val="44"/>
        </w:numPr>
        <w:textAlignment w:val="center"/>
        <w:rPr>
          <w:rFonts w:eastAsia="Times New Roman"/>
        </w:rPr>
      </w:pPr>
      <w:r>
        <w:rPr>
          <w:rFonts w:eastAsia="Times New Roman"/>
        </w:rPr>
        <w:t>The SOS also has an office of State Records and Archives (VSRA) that might also be able to take this database. Placement in the SOS would require some potential re-allocation of General Fund dollars to accommodate that placement.</w:t>
      </w:r>
    </w:p>
    <w:p w14:paraId="239FA6DF" w14:textId="77777777" w:rsidR="001B7128" w:rsidRDefault="001B7128" w:rsidP="001B7128">
      <w:pPr>
        <w:numPr>
          <w:ilvl w:val="1"/>
          <w:numId w:val="44"/>
        </w:numPr>
        <w:textAlignment w:val="center"/>
        <w:rPr>
          <w:rFonts w:eastAsia="Times New Roman"/>
        </w:rPr>
      </w:pPr>
      <w:r>
        <w:rPr>
          <w:rFonts w:eastAsia="Times New Roman"/>
          <w:u w:val="single"/>
        </w:rPr>
        <w:t>Process &amp; Due Process</w:t>
      </w:r>
    </w:p>
    <w:p w14:paraId="3ED18417" w14:textId="77777777" w:rsidR="001B7128" w:rsidRDefault="001B7128" w:rsidP="001B7128">
      <w:pPr>
        <w:numPr>
          <w:ilvl w:val="2"/>
          <w:numId w:val="44"/>
        </w:numPr>
        <w:textAlignment w:val="center"/>
        <w:rPr>
          <w:rFonts w:eastAsia="Times New Roman"/>
        </w:rPr>
      </w:pPr>
      <w:r>
        <w:rPr>
          <w:rFonts w:eastAsia="Times New Roman"/>
        </w:rPr>
        <w:t xml:space="preserve">Asks what the protocol would be for handling cases in which the subject officer of the letter has challenges to their </w:t>
      </w:r>
      <w:r>
        <w:rPr>
          <w:rFonts w:eastAsia="Times New Roman"/>
          <w:i/>
          <w:iCs/>
        </w:rPr>
        <w:t>Giglio/Brady</w:t>
      </w:r>
      <w:r>
        <w:rPr>
          <w:rFonts w:eastAsia="Times New Roman"/>
        </w:rPr>
        <w:t xml:space="preserve"> letter, or what rights the subject officer would have in this process.</w:t>
      </w:r>
    </w:p>
    <w:p w14:paraId="06C54059" w14:textId="77777777" w:rsidR="001B7128" w:rsidRDefault="001B7128" w:rsidP="001B7128">
      <w:pPr>
        <w:numPr>
          <w:ilvl w:val="2"/>
          <w:numId w:val="44"/>
        </w:numPr>
        <w:textAlignment w:val="center"/>
        <w:rPr>
          <w:rFonts w:eastAsia="Times New Roman"/>
        </w:rPr>
      </w:pPr>
      <w:r>
        <w:rPr>
          <w:rFonts w:eastAsia="Times New Roman"/>
        </w:rPr>
        <w:t xml:space="preserve">Years ago, there were policy conversations among policymakers in VT about having law enforcement officers be licensed through OPR. That idea did not proceed at the time, but Lauren asks whether that discussion becomes relevant if a </w:t>
      </w:r>
      <w:r>
        <w:rPr>
          <w:rFonts w:eastAsia="Times New Roman"/>
          <w:i/>
          <w:iCs/>
        </w:rPr>
        <w:t>Giglio</w:t>
      </w:r>
      <w:r>
        <w:rPr>
          <w:rFonts w:eastAsia="Times New Roman"/>
        </w:rPr>
        <w:t xml:space="preserve"> database is placed in SOS-OPR. Generally, when a complaint is lodged against a professional licensee, records of discipline are attached to that record held by SOS. Lauren asks if that is the intent with this sort of database as well.</w:t>
      </w:r>
    </w:p>
    <w:p w14:paraId="58424F93" w14:textId="77777777" w:rsidR="001B7128" w:rsidRDefault="001B7128" w:rsidP="001B7128">
      <w:pPr>
        <w:numPr>
          <w:ilvl w:val="2"/>
          <w:numId w:val="44"/>
        </w:numPr>
        <w:textAlignment w:val="center"/>
        <w:rPr>
          <w:rFonts w:eastAsia="Times New Roman"/>
        </w:rPr>
      </w:pPr>
      <w:r>
        <w:rPr>
          <w:rFonts w:eastAsia="Times New Roman"/>
        </w:rPr>
        <w:t>Public records: A record can still be a public record even if it is only accessible on demand. What would be the public record demand for hosting these letters? These letters would be of high value to members of the public, so the work of responding to public record requests could be onerous.</w:t>
      </w:r>
    </w:p>
    <w:p w14:paraId="02F3B1EB" w14:textId="77777777" w:rsidR="001B7128" w:rsidRDefault="001B7128" w:rsidP="001B7128">
      <w:pPr>
        <w:numPr>
          <w:ilvl w:val="1"/>
          <w:numId w:val="44"/>
        </w:numPr>
        <w:textAlignment w:val="center"/>
        <w:rPr>
          <w:rFonts w:eastAsia="Times New Roman"/>
        </w:rPr>
      </w:pPr>
      <w:r>
        <w:rPr>
          <w:rFonts w:eastAsia="Times New Roman"/>
        </w:rPr>
        <w:lastRenderedPageBreak/>
        <w:t>MEENAN: Part of the question of public access will depend on whether the database is open to the public or only open to named users from specific agencies.</w:t>
      </w:r>
    </w:p>
    <w:p w14:paraId="59FD2CFB" w14:textId="77777777" w:rsidR="001B7128" w:rsidRDefault="001B7128" w:rsidP="001B7128">
      <w:pPr>
        <w:pStyle w:val="NormalWeb"/>
        <w:spacing w:before="0" w:beforeAutospacing="0" w:after="0" w:afterAutospacing="0"/>
        <w:ind w:left="540"/>
        <w:rPr>
          <w:rFonts w:eastAsiaTheme="minorHAnsi"/>
        </w:rPr>
      </w:pPr>
      <w:r>
        <w:t> </w:t>
      </w:r>
    </w:p>
    <w:p w14:paraId="60B38442" w14:textId="77777777" w:rsidR="001B7128" w:rsidRDefault="001B7128" w:rsidP="001B7128">
      <w:pPr>
        <w:pStyle w:val="NormalWeb"/>
        <w:spacing w:before="0" w:beforeAutospacing="0" w:after="0" w:afterAutospacing="0"/>
      </w:pPr>
      <w:r>
        <w:rPr>
          <w:b/>
          <w:bCs/>
          <w:u w:val="single"/>
        </w:rPr>
        <w:t>Decision Points</w:t>
      </w:r>
    </w:p>
    <w:p w14:paraId="61E5B81C" w14:textId="77777777" w:rsidR="001B7128" w:rsidRDefault="001B7128" w:rsidP="001B7128">
      <w:pPr>
        <w:numPr>
          <w:ilvl w:val="0"/>
          <w:numId w:val="45"/>
        </w:numPr>
        <w:textAlignment w:val="center"/>
        <w:rPr>
          <w:rFonts w:eastAsia="Times New Roman"/>
        </w:rPr>
      </w:pPr>
      <w:r>
        <w:rPr>
          <w:rFonts w:eastAsia="Times New Roman"/>
        </w:rPr>
        <w:t>The Committee expresses concerns about timing: This committee was given six meetings to answer a complex list of questions. Some of these questions may not be answerable in that timeframe, so the Legislature may need to answer the question about whether the database should be public and determine how to allocate resources depending on the answer to that question.</w:t>
      </w:r>
    </w:p>
    <w:p w14:paraId="44D4E5BC" w14:textId="77777777" w:rsidR="001B7128" w:rsidRDefault="001B7128" w:rsidP="001B7128">
      <w:pPr>
        <w:numPr>
          <w:ilvl w:val="0"/>
          <w:numId w:val="45"/>
        </w:numPr>
        <w:textAlignment w:val="center"/>
        <w:rPr>
          <w:rFonts w:eastAsia="Times New Roman"/>
        </w:rPr>
      </w:pPr>
      <w:r>
        <w:rPr>
          <w:rFonts w:eastAsia="Times New Roman"/>
          <w:u w:val="single"/>
        </w:rPr>
        <w:t>Question F: Appropriate access</w:t>
      </w:r>
    </w:p>
    <w:p w14:paraId="367E35CA" w14:textId="77777777" w:rsidR="001B7128" w:rsidRDefault="001B7128" w:rsidP="001B7128">
      <w:pPr>
        <w:numPr>
          <w:ilvl w:val="1"/>
          <w:numId w:val="45"/>
        </w:numPr>
        <w:textAlignment w:val="center"/>
        <w:rPr>
          <w:rFonts w:eastAsia="Times New Roman"/>
        </w:rPr>
      </w:pPr>
      <w:r>
        <w:rPr>
          <w:rFonts w:eastAsia="Times New Roman"/>
        </w:rPr>
        <w:t>FRANK: We should decide for whom this database is intended first. If it is for attorneys only, that tells us what kind of content to include and where to house it.</w:t>
      </w:r>
    </w:p>
    <w:p w14:paraId="22E24DB7" w14:textId="77777777" w:rsidR="001B7128" w:rsidRDefault="001B7128" w:rsidP="001B7128">
      <w:pPr>
        <w:numPr>
          <w:ilvl w:val="1"/>
          <w:numId w:val="45"/>
        </w:numPr>
        <w:textAlignment w:val="center"/>
        <w:rPr>
          <w:rFonts w:eastAsia="Times New Roman"/>
        </w:rPr>
      </w:pPr>
      <w:r>
        <w:rPr>
          <w:rFonts w:eastAsia="Times New Roman"/>
        </w:rPr>
        <w:t>PAHL: The database should be public. This is easier and more transparent, which is what the public wants.</w:t>
      </w:r>
    </w:p>
    <w:p w14:paraId="5ECC3C52" w14:textId="77777777" w:rsidR="001B7128" w:rsidRDefault="001B7128" w:rsidP="001B7128">
      <w:pPr>
        <w:numPr>
          <w:ilvl w:val="1"/>
          <w:numId w:val="45"/>
        </w:numPr>
        <w:textAlignment w:val="center"/>
        <w:rPr>
          <w:rFonts w:eastAsia="Times New Roman"/>
        </w:rPr>
      </w:pPr>
      <w:r>
        <w:rPr>
          <w:rFonts w:eastAsia="Times New Roman"/>
        </w:rPr>
        <w:t xml:space="preserve">MEENAN: If it is public, the work involved with scrutinizing the information and cross-checking its accuracy will be high. </w:t>
      </w:r>
    </w:p>
    <w:p w14:paraId="5C3303A2" w14:textId="77777777" w:rsidR="001B7128" w:rsidRDefault="001B7128" w:rsidP="001B7128">
      <w:pPr>
        <w:numPr>
          <w:ilvl w:val="2"/>
          <w:numId w:val="45"/>
        </w:numPr>
        <w:textAlignment w:val="center"/>
        <w:rPr>
          <w:rFonts w:eastAsia="Times New Roman"/>
        </w:rPr>
      </w:pPr>
      <w:r>
        <w:rPr>
          <w:rFonts w:eastAsia="Times New Roman"/>
        </w:rPr>
        <w:t>PAHL: That would be the same regardless of public access. Due process for named officers is important, so that high standard of accuracy will need to be met regardless.</w:t>
      </w:r>
    </w:p>
    <w:p w14:paraId="2C1F42A2" w14:textId="77777777" w:rsidR="001B7128" w:rsidRDefault="001B7128" w:rsidP="001B7128">
      <w:pPr>
        <w:numPr>
          <w:ilvl w:val="3"/>
          <w:numId w:val="45"/>
        </w:numPr>
        <w:textAlignment w:val="center"/>
        <w:rPr>
          <w:rFonts w:eastAsia="Times New Roman"/>
        </w:rPr>
      </w:pPr>
      <w:r>
        <w:rPr>
          <w:rFonts w:eastAsia="Times New Roman"/>
        </w:rPr>
        <w:t>MEENAN: Agree, but some of the work might be different depending on kinds of cases. For example, in cases related to abuse of juveniles, there needs to be redaction of supporting documents to protect the juvenile's identity before upload to database.</w:t>
      </w:r>
    </w:p>
    <w:p w14:paraId="464C0017" w14:textId="77777777" w:rsidR="001B7128" w:rsidRDefault="001B7128" w:rsidP="001B7128">
      <w:pPr>
        <w:numPr>
          <w:ilvl w:val="2"/>
          <w:numId w:val="45"/>
        </w:numPr>
        <w:textAlignment w:val="center"/>
        <w:rPr>
          <w:rFonts w:eastAsia="Times New Roman"/>
        </w:rPr>
      </w:pPr>
      <w:r>
        <w:rPr>
          <w:rFonts w:eastAsia="Times New Roman"/>
        </w:rPr>
        <w:t>JACOBSEN: The database should be public.</w:t>
      </w:r>
    </w:p>
    <w:p w14:paraId="6CAC57E2" w14:textId="77777777" w:rsidR="001B7128" w:rsidRDefault="001B7128" w:rsidP="001B7128">
      <w:pPr>
        <w:numPr>
          <w:ilvl w:val="2"/>
          <w:numId w:val="45"/>
        </w:numPr>
        <w:textAlignment w:val="center"/>
        <w:rPr>
          <w:rFonts w:eastAsia="Times New Roman"/>
        </w:rPr>
      </w:pPr>
      <w:r>
        <w:rPr>
          <w:rFonts w:eastAsia="Times New Roman"/>
        </w:rPr>
        <w:t>BURDITT: Questions F and B are linked. Question B (type and scope of information in database) might dictate who has access to the database or to the record. Some details should not be in public databases, but perhaps in private ones. I worry this system could end up collecting too much information and micromanaging law enforcement agencies instead of allowing certain details to be handled internally.</w:t>
      </w:r>
    </w:p>
    <w:p w14:paraId="2AB457AA" w14:textId="77777777" w:rsidR="001B7128" w:rsidRDefault="001B7128" w:rsidP="001B7128">
      <w:pPr>
        <w:numPr>
          <w:ilvl w:val="1"/>
          <w:numId w:val="45"/>
        </w:numPr>
        <w:textAlignment w:val="center"/>
        <w:rPr>
          <w:rFonts w:eastAsia="Times New Roman"/>
        </w:rPr>
      </w:pPr>
      <w:r>
        <w:rPr>
          <w:rFonts w:eastAsia="Times New Roman"/>
        </w:rPr>
        <w:t>DOLAN: Can we start with making sure prosecutors around the state have access? Perhaps start with the database being presumptively private, and then add access layers/categories of users as needed and see what level of publicity that leads us to.</w:t>
      </w:r>
    </w:p>
    <w:p w14:paraId="6393D139" w14:textId="77777777" w:rsidR="001B7128" w:rsidRDefault="001B7128" w:rsidP="001B7128">
      <w:pPr>
        <w:numPr>
          <w:ilvl w:val="2"/>
          <w:numId w:val="45"/>
        </w:numPr>
        <w:textAlignment w:val="center"/>
        <w:rPr>
          <w:rFonts w:eastAsia="Times New Roman"/>
        </w:rPr>
      </w:pPr>
      <w:r>
        <w:rPr>
          <w:rFonts w:eastAsia="Times New Roman"/>
        </w:rPr>
        <w:t xml:space="preserve">MEENAN: Currently, all prosecutors working for the States Attorneys Department have access to a shared folder with all the Department's </w:t>
      </w:r>
      <w:r>
        <w:rPr>
          <w:rFonts w:eastAsia="Times New Roman"/>
          <w:i/>
          <w:iCs/>
        </w:rPr>
        <w:t>Brady/Giglio</w:t>
      </w:r>
      <w:r>
        <w:rPr>
          <w:rFonts w:eastAsia="Times New Roman"/>
        </w:rPr>
        <w:t xml:space="preserve"> letters. This database is more current than the ACLU's database because new letters issued have been added since the ACLU's last public records request for letters. This folder is part of the computer's standard file </w:t>
      </w:r>
      <w:proofErr w:type="gramStart"/>
      <w:r>
        <w:rPr>
          <w:rFonts w:eastAsia="Times New Roman"/>
        </w:rPr>
        <w:t>browser</w:t>
      </w:r>
      <w:proofErr w:type="gramEnd"/>
      <w:r>
        <w:rPr>
          <w:rFonts w:eastAsia="Times New Roman"/>
        </w:rPr>
        <w:t xml:space="preserve"> and the contents of each file are not word searchable. </w:t>
      </w:r>
    </w:p>
    <w:p w14:paraId="38CE67F3" w14:textId="77777777" w:rsidR="001B7128" w:rsidRDefault="001B7128" w:rsidP="001B7128">
      <w:pPr>
        <w:numPr>
          <w:ilvl w:val="1"/>
          <w:numId w:val="45"/>
        </w:numPr>
        <w:textAlignment w:val="center"/>
        <w:rPr>
          <w:rFonts w:eastAsia="Times New Roman"/>
        </w:rPr>
      </w:pPr>
      <w:r>
        <w:rPr>
          <w:rFonts w:eastAsia="Times New Roman"/>
        </w:rPr>
        <w:lastRenderedPageBreak/>
        <w:t>PAHL: Do we need to add supporting documentation to letters? Can we just include the letters in the database and let interested parties seek further detail on their own from there?</w:t>
      </w:r>
    </w:p>
    <w:p w14:paraId="6176B2DC" w14:textId="77777777" w:rsidR="001B7128" w:rsidRDefault="001B7128" w:rsidP="001B7128">
      <w:pPr>
        <w:numPr>
          <w:ilvl w:val="2"/>
          <w:numId w:val="45"/>
        </w:numPr>
        <w:textAlignment w:val="center"/>
        <w:rPr>
          <w:rFonts w:eastAsia="Times New Roman"/>
        </w:rPr>
      </w:pPr>
      <w:r>
        <w:rPr>
          <w:rFonts w:eastAsia="Times New Roman"/>
        </w:rPr>
        <w:t xml:space="preserve">MEENAN: That would be less helpful to prosecutors to fulfill their discovery disclosure obligations. For example, an accused officer engaged in misconduct and the prosecutor does not know about it, then the agency would be required to report the misconduct to all prosecutors in the first instance. Perhaps DOLAN's suggestion might work to correct this, if we make access to the supporting documents limited to certain entities and access to the letters themselves </w:t>
      </w:r>
      <w:proofErr w:type="gramStart"/>
      <w:r>
        <w:rPr>
          <w:rFonts w:eastAsia="Times New Roman"/>
        </w:rPr>
        <w:t>more broad</w:t>
      </w:r>
      <w:proofErr w:type="gramEnd"/>
      <w:r>
        <w:rPr>
          <w:rFonts w:eastAsia="Times New Roman"/>
        </w:rPr>
        <w:t>. Whether something is in the database or not does not impact prosecutors' discovery disclosure obligations.</w:t>
      </w:r>
    </w:p>
    <w:p w14:paraId="21B89D1B" w14:textId="77777777" w:rsidR="001B7128" w:rsidRDefault="001B7128" w:rsidP="001B7128">
      <w:pPr>
        <w:numPr>
          <w:ilvl w:val="1"/>
          <w:numId w:val="45"/>
        </w:numPr>
        <w:textAlignment w:val="center"/>
        <w:rPr>
          <w:rFonts w:eastAsia="Times New Roman"/>
        </w:rPr>
      </w:pPr>
      <w:r>
        <w:rPr>
          <w:rFonts w:eastAsia="Times New Roman"/>
        </w:rPr>
        <w:t>DAVIS: The database should be public. As HIBBERT said, the information is "high-value" for the public, and for good reason. Lives depend on it. To DOLAN and BURDITT's points, the content of the information might help us determine access levels in a layered approach, but there should be very strong justification for why some entities have access to more detailed information and others do not, especially if those details can be gained publicly through other means/agencies anyway.</w:t>
      </w:r>
    </w:p>
    <w:p w14:paraId="426FDFF6" w14:textId="77777777" w:rsidR="001B7128" w:rsidRDefault="001B7128" w:rsidP="001B7128">
      <w:pPr>
        <w:numPr>
          <w:ilvl w:val="1"/>
          <w:numId w:val="45"/>
        </w:numPr>
        <w:textAlignment w:val="center"/>
        <w:rPr>
          <w:rFonts w:eastAsia="Times New Roman"/>
        </w:rPr>
      </w:pPr>
      <w:r>
        <w:rPr>
          <w:rFonts w:eastAsia="Times New Roman"/>
        </w:rPr>
        <w:t xml:space="preserve">ANDERSON: The enabling statute for this Committee discusses the purpose of the database being to facilitate disclosure of impeachable information in cases. This suggests the intended audience is prosecutors. For that reason, several of our decision points/questions are already answered: The letters are already public if they are offered as evidence in cases that are publicly adjudicated. The content of the database is directed by the constitutional mandate already established. Security and confidentiality are not major questions if the information is already public. </w:t>
      </w:r>
    </w:p>
    <w:p w14:paraId="58EFC153" w14:textId="77777777" w:rsidR="001B7128" w:rsidRDefault="001B7128" w:rsidP="001B7128">
      <w:pPr>
        <w:numPr>
          <w:ilvl w:val="1"/>
          <w:numId w:val="45"/>
        </w:numPr>
        <w:textAlignment w:val="center"/>
        <w:rPr>
          <w:rFonts w:eastAsia="Times New Roman"/>
        </w:rPr>
      </w:pPr>
      <w:r>
        <w:rPr>
          <w:rFonts w:eastAsia="Times New Roman"/>
        </w:rPr>
        <w:t xml:space="preserve">JACOBSEN: Given the last several comments, it appears there is </w:t>
      </w:r>
      <w:r>
        <w:rPr>
          <w:rFonts w:eastAsia="Times New Roman"/>
          <w:i/>
          <w:iCs/>
        </w:rPr>
        <w:t>already</w:t>
      </w:r>
      <w:r>
        <w:rPr>
          <w:rFonts w:eastAsia="Times New Roman"/>
        </w:rPr>
        <w:t xml:space="preserve"> a Giglio database in a sense, but it just needs to be made more public/central.</w:t>
      </w:r>
    </w:p>
    <w:p w14:paraId="00D868A5" w14:textId="77777777" w:rsidR="001B7128" w:rsidRDefault="001B7128" w:rsidP="001B7128">
      <w:pPr>
        <w:numPr>
          <w:ilvl w:val="1"/>
          <w:numId w:val="45"/>
        </w:numPr>
        <w:textAlignment w:val="center"/>
        <w:rPr>
          <w:rFonts w:eastAsia="Times New Roman"/>
        </w:rPr>
      </w:pPr>
      <w:r>
        <w:rPr>
          <w:rFonts w:eastAsia="Times New Roman"/>
        </w:rPr>
        <w:t xml:space="preserve">JONES: Can the States Attorneys Department just add a page on its website and upload its letters? </w:t>
      </w:r>
    </w:p>
    <w:p w14:paraId="09332D1B" w14:textId="77777777" w:rsidR="001B7128" w:rsidRDefault="001B7128" w:rsidP="001B7128">
      <w:pPr>
        <w:numPr>
          <w:ilvl w:val="1"/>
          <w:numId w:val="45"/>
        </w:numPr>
        <w:textAlignment w:val="center"/>
        <w:rPr>
          <w:rFonts w:eastAsia="Times New Roman"/>
        </w:rPr>
      </w:pPr>
      <w:r>
        <w:rPr>
          <w:rFonts w:eastAsia="Times New Roman"/>
        </w:rPr>
        <w:t>MEENAN: Perhaps we can have a database with two levels of access:</w:t>
      </w:r>
    </w:p>
    <w:p w14:paraId="0B5609E7" w14:textId="77777777" w:rsidR="001B7128" w:rsidRDefault="001B7128" w:rsidP="001B7128">
      <w:pPr>
        <w:numPr>
          <w:ilvl w:val="2"/>
          <w:numId w:val="45"/>
        </w:numPr>
        <w:textAlignment w:val="center"/>
        <w:rPr>
          <w:rFonts w:eastAsia="Times New Roman"/>
        </w:rPr>
      </w:pPr>
      <w:r>
        <w:rPr>
          <w:rFonts w:eastAsia="Times New Roman"/>
        </w:rPr>
        <w:t>One level of access open to the public with details like</w:t>
      </w:r>
    </w:p>
    <w:p w14:paraId="7EC69E85" w14:textId="77777777" w:rsidR="001B7128" w:rsidRDefault="001B7128" w:rsidP="001B7128">
      <w:pPr>
        <w:numPr>
          <w:ilvl w:val="3"/>
          <w:numId w:val="45"/>
        </w:numPr>
        <w:textAlignment w:val="center"/>
        <w:rPr>
          <w:rFonts w:eastAsia="Times New Roman"/>
        </w:rPr>
      </w:pPr>
      <w:r>
        <w:rPr>
          <w:rFonts w:eastAsia="Times New Roman"/>
        </w:rPr>
        <w:t>Officer name</w:t>
      </w:r>
    </w:p>
    <w:p w14:paraId="24BC5455" w14:textId="77777777" w:rsidR="001B7128" w:rsidRDefault="001B7128" w:rsidP="001B7128">
      <w:pPr>
        <w:numPr>
          <w:ilvl w:val="3"/>
          <w:numId w:val="45"/>
        </w:numPr>
        <w:textAlignment w:val="center"/>
        <w:rPr>
          <w:rFonts w:eastAsia="Times New Roman"/>
        </w:rPr>
      </w:pPr>
      <w:r>
        <w:rPr>
          <w:rFonts w:eastAsia="Times New Roman"/>
        </w:rPr>
        <w:t>Department they were working for at the time of the alleged misconduct</w:t>
      </w:r>
    </w:p>
    <w:p w14:paraId="67FC146C" w14:textId="77777777" w:rsidR="001B7128" w:rsidRDefault="001B7128" w:rsidP="001B7128">
      <w:pPr>
        <w:numPr>
          <w:ilvl w:val="3"/>
          <w:numId w:val="45"/>
        </w:numPr>
        <w:textAlignment w:val="center"/>
        <w:rPr>
          <w:rFonts w:eastAsia="Times New Roman"/>
        </w:rPr>
      </w:pPr>
      <w:r>
        <w:rPr>
          <w:rFonts w:eastAsia="Times New Roman"/>
        </w:rPr>
        <w:t>General description of the alleged misconduct</w:t>
      </w:r>
    </w:p>
    <w:p w14:paraId="4CA86161" w14:textId="77777777" w:rsidR="001B7128" w:rsidRDefault="001B7128" w:rsidP="001B7128">
      <w:pPr>
        <w:numPr>
          <w:ilvl w:val="3"/>
          <w:numId w:val="45"/>
        </w:numPr>
        <w:textAlignment w:val="center"/>
        <w:rPr>
          <w:rFonts w:eastAsia="Times New Roman"/>
        </w:rPr>
      </w:pPr>
      <w:r>
        <w:rPr>
          <w:rFonts w:eastAsia="Times New Roman"/>
        </w:rPr>
        <w:t>Date of the alleged misconduct</w:t>
      </w:r>
    </w:p>
    <w:p w14:paraId="72ACA086" w14:textId="77777777" w:rsidR="001B7128" w:rsidRDefault="001B7128" w:rsidP="001B7128">
      <w:pPr>
        <w:numPr>
          <w:ilvl w:val="3"/>
          <w:numId w:val="45"/>
        </w:numPr>
        <w:textAlignment w:val="center"/>
        <w:rPr>
          <w:rFonts w:eastAsia="Times New Roman"/>
        </w:rPr>
      </w:pPr>
      <w:r>
        <w:rPr>
          <w:rFonts w:eastAsia="Times New Roman"/>
          <w:i/>
          <w:iCs/>
        </w:rPr>
        <w:t>Giglio/Brady</w:t>
      </w:r>
      <w:r>
        <w:rPr>
          <w:rFonts w:eastAsia="Times New Roman"/>
        </w:rPr>
        <w:t xml:space="preserve"> letter</w:t>
      </w:r>
    </w:p>
    <w:p w14:paraId="63973029" w14:textId="77777777" w:rsidR="001B7128" w:rsidRDefault="001B7128" w:rsidP="001B7128">
      <w:pPr>
        <w:numPr>
          <w:ilvl w:val="2"/>
          <w:numId w:val="45"/>
        </w:numPr>
        <w:textAlignment w:val="center"/>
        <w:rPr>
          <w:rFonts w:eastAsia="Times New Roman"/>
        </w:rPr>
      </w:pPr>
      <w:r>
        <w:rPr>
          <w:rFonts w:eastAsia="Times New Roman"/>
        </w:rPr>
        <w:t>Second level of access for attorneys/prosecutors with supporting documents like case files, police reports.</w:t>
      </w:r>
    </w:p>
    <w:p w14:paraId="3A1F7BEC" w14:textId="77777777" w:rsidR="001B7128" w:rsidRDefault="001B7128" w:rsidP="001B7128">
      <w:pPr>
        <w:numPr>
          <w:ilvl w:val="2"/>
          <w:numId w:val="45"/>
        </w:numPr>
        <w:textAlignment w:val="center"/>
        <w:rPr>
          <w:rFonts w:eastAsia="Times New Roman"/>
        </w:rPr>
      </w:pPr>
      <w:r>
        <w:rPr>
          <w:rFonts w:eastAsia="Times New Roman"/>
        </w:rPr>
        <w:t>At that point, the supporting documents that are part of the second level of access would still be publicly accessible through a public record request to the appropriate agency that generated the records.</w:t>
      </w:r>
    </w:p>
    <w:p w14:paraId="64E1DD35" w14:textId="77777777" w:rsidR="001B7128" w:rsidRDefault="001B7128" w:rsidP="001B7128">
      <w:pPr>
        <w:numPr>
          <w:ilvl w:val="0"/>
          <w:numId w:val="45"/>
        </w:numPr>
        <w:textAlignment w:val="center"/>
        <w:rPr>
          <w:rFonts w:eastAsia="Times New Roman"/>
        </w:rPr>
      </w:pPr>
      <w:r>
        <w:rPr>
          <w:rFonts w:eastAsia="Times New Roman"/>
        </w:rPr>
        <w:lastRenderedPageBreak/>
        <w:t>The Committee will consider this suggestion and discuss it at the next meeting.</w:t>
      </w:r>
    </w:p>
    <w:p w14:paraId="47F0173D" w14:textId="77777777" w:rsidR="001B7128" w:rsidRDefault="001B7128" w:rsidP="001B7128">
      <w:pPr>
        <w:pStyle w:val="NormalWeb"/>
        <w:spacing w:before="0" w:beforeAutospacing="0" w:after="0" w:afterAutospacing="0"/>
        <w:rPr>
          <w:rFonts w:eastAsiaTheme="minorHAnsi"/>
        </w:rPr>
      </w:pPr>
      <w:r>
        <w:t> </w:t>
      </w:r>
    </w:p>
    <w:p w14:paraId="60B868F5" w14:textId="77777777" w:rsidR="001B7128" w:rsidRDefault="001B7128" w:rsidP="001B7128">
      <w:pPr>
        <w:pStyle w:val="NormalWeb"/>
        <w:spacing w:before="0" w:beforeAutospacing="0" w:after="0" w:afterAutospacing="0"/>
      </w:pPr>
      <w:r>
        <w:rPr>
          <w:b/>
          <w:bCs/>
          <w:u w:val="single"/>
        </w:rPr>
        <w:t>Adjourn</w:t>
      </w:r>
    </w:p>
    <w:p w14:paraId="1D9F6B21" w14:textId="77777777" w:rsidR="001B7128" w:rsidRDefault="001B7128" w:rsidP="001B7128">
      <w:pPr>
        <w:numPr>
          <w:ilvl w:val="0"/>
          <w:numId w:val="46"/>
        </w:numPr>
        <w:textAlignment w:val="center"/>
        <w:rPr>
          <w:rFonts w:eastAsia="Times New Roman"/>
        </w:rPr>
      </w:pPr>
      <w:r>
        <w:rPr>
          <w:rFonts w:eastAsia="Times New Roman"/>
        </w:rPr>
        <w:t>Motion to adjourn: MEENAN</w:t>
      </w:r>
    </w:p>
    <w:p w14:paraId="07DD8897" w14:textId="77777777" w:rsidR="001B7128" w:rsidRDefault="001B7128" w:rsidP="001B7128">
      <w:pPr>
        <w:numPr>
          <w:ilvl w:val="0"/>
          <w:numId w:val="46"/>
        </w:numPr>
        <w:textAlignment w:val="center"/>
        <w:rPr>
          <w:rFonts w:eastAsia="Times New Roman"/>
        </w:rPr>
      </w:pPr>
      <w:r>
        <w:rPr>
          <w:rFonts w:eastAsia="Times New Roman"/>
        </w:rPr>
        <w:t>Second: ANDERSON</w:t>
      </w:r>
    </w:p>
    <w:p w14:paraId="58CDB3CA" w14:textId="77777777" w:rsidR="001B7128" w:rsidRDefault="001B7128" w:rsidP="001B7128">
      <w:pPr>
        <w:numPr>
          <w:ilvl w:val="0"/>
          <w:numId w:val="46"/>
        </w:numPr>
        <w:textAlignment w:val="center"/>
        <w:rPr>
          <w:rFonts w:eastAsia="Times New Roman"/>
        </w:rPr>
      </w:pPr>
      <w:r>
        <w:rPr>
          <w:rFonts w:eastAsia="Times New Roman"/>
        </w:rPr>
        <w:t>Vote Outcomes: All vote aye.</w:t>
      </w:r>
    </w:p>
    <w:p w14:paraId="6677294B" w14:textId="77777777" w:rsidR="001B7128" w:rsidRDefault="001B7128" w:rsidP="001B7128">
      <w:pPr>
        <w:numPr>
          <w:ilvl w:val="0"/>
          <w:numId w:val="46"/>
        </w:numPr>
        <w:textAlignment w:val="center"/>
        <w:rPr>
          <w:rFonts w:eastAsia="Times New Roman"/>
        </w:rPr>
      </w:pPr>
      <w:r>
        <w:rPr>
          <w:rFonts w:eastAsia="Times New Roman"/>
        </w:rPr>
        <w:t>Meeting adjourned at 2:03 p.m.</w:t>
      </w:r>
    </w:p>
    <w:p w14:paraId="04780515" w14:textId="77777777" w:rsidR="001B7128" w:rsidRDefault="001B7128" w:rsidP="001B7128">
      <w:pPr>
        <w:numPr>
          <w:ilvl w:val="0"/>
          <w:numId w:val="46"/>
        </w:numPr>
        <w:textAlignment w:val="center"/>
        <w:rPr>
          <w:rFonts w:eastAsia="Times New Roman"/>
        </w:rPr>
      </w:pPr>
      <w:r>
        <w:rPr>
          <w:rFonts w:eastAsia="Times New Roman"/>
        </w:rPr>
        <w:t>Next Meeting Dates: October 19, 2022 (2:00-3:00 p.m.); and November 17, 2022 (1:00-2:00 p.m.)</w:t>
      </w:r>
    </w:p>
    <w:p w14:paraId="0B679A26" w14:textId="77777777" w:rsidR="001B7128" w:rsidRDefault="001B7128" w:rsidP="001B7128">
      <w:pPr>
        <w:pStyle w:val="NormalWeb"/>
        <w:spacing w:before="0" w:beforeAutospacing="0" w:after="0" w:afterAutospacing="0"/>
        <w:rPr>
          <w:rFonts w:eastAsiaTheme="minorHAnsi"/>
        </w:rPr>
      </w:pPr>
      <w:r>
        <w:t> </w:t>
      </w:r>
    </w:p>
    <w:p w14:paraId="20915B07" w14:textId="77777777" w:rsidR="001B7128" w:rsidRDefault="001B7128" w:rsidP="001B7128">
      <w:pPr>
        <w:pStyle w:val="NormalWeb"/>
        <w:spacing w:before="0" w:beforeAutospacing="0" w:after="0" w:afterAutospacing="0"/>
      </w:pPr>
      <w:r>
        <w:rPr>
          <w:b/>
          <w:bCs/>
          <w:u w:val="single"/>
        </w:rPr>
        <w:t>Materials Shared/Discussed</w:t>
      </w:r>
    </w:p>
    <w:p w14:paraId="035DF05E" w14:textId="77777777" w:rsidR="001B7128" w:rsidRDefault="001B7128" w:rsidP="001B7128">
      <w:pPr>
        <w:numPr>
          <w:ilvl w:val="0"/>
          <w:numId w:val="47"/>
        </w:numPr>
        <w:textAlignment w:val="center"/>
        <w:rPr>
          <w:rFonts w:eastAsia="Times New Roman"/>
        </w:rPr>
      </w:pPr>
      <w:r>
        <w:rPr>
          <w:rFonts w:eastAsia="Times New Roman"/>
        </w:rPr>
        <w:t xml:space="preserve">Vermont Open Data Portal: </w:t>
      </w:r>
      <w:hyperlink r:id="rId31" w:history="1">
        <w:r>
          <w:rPr>
            <w:rStyle w:val="Hyperlink"/>
            <w:rFonts w:eastAsia="Times New Roman"/>
          </w:rPr>
          <w:t>https://data.vermont.gov/</w:t>
        </w:r>
      </w:hyperlink>
    </w:p>
    <w:p w14:paraId="3678409D" w14:textId="77777777" w:rsidR="006B286F" w:rsidRDefault="001B7128" w:rsidP="001B7128">
      <w:pPr>
        <w:numPr>
          <w:ilvl w:val="0"/>
          <w:numId w:val="47"/>
        </w:numPr>
        <w:textAlignment w:val="center"/>
        <w:rPr>
          <w:rFonts w:eastAsia="Times New Roman"/>
        </w:rPr>
      </w:pPr>
      <w:r>
        <w:rPr>
          <w:rFonts w:eastAsia="Times New Roman"/>
        </w:rPr>
        <w:t>Screenshot of part of States Attorneys folder of letters (not all letters fit on the screen at once):</w:t>
      </w:r>
    </w:p>
    <w:p w14:paraId="5B614843" w14:textId="77777777" w:rsidR="006B286F" w:rsidRDefault="006B286F" w:rsidP="006B286F">
      <w:pPr>
        <w:ind w:left="360"/>
        <w:textAlignment w:val="center"/>
        <w:rPr>
          <w:rFonts w:eastAsia="Times New Roman"/>
          <w:i/>
          <w:iCs/>
        </w:rPr>
      </w:pPr>
    </w:p>
    <w:p w14:paraId="45DAEAF0" w14:textId="2C5F342C" w:rsidR="001B7128" w:rsidRDefault="006B286F" w:rsidP="006B286F">
      <w:pPr>
        <w:ind w:left="360"/>
        <w:textAlignment w:val="center"/>
        <w:rPr>
          <w:rFonts w:eastAsia="Times New Roman"/>
        </w:rPr>
      </w:pPr>
      <w:r>
        <w:rPr>
          <w:rFonts w:eastAsia="Times New Roman"/>
          <w:i/>
          <w:iCs/>
        </w:rPr>
        <w:t>Next page</w:t>
      </w:r>
      <w:r w:rsidR="001B7128">
        <w:rPr>
          <w:rFonts w:eastAsia="Times New Roman"/>
        </w:rPr>
        <w:t xml:space="preserve"> </w:t>
      </w:r>
    </w:p>
    <w:p w14:paraId="7A73DA24" w14:textId="1A06910F" w:rsidR="001B7128" w:rsidRDefault="001B7128" w:rsidP="001B7128">
      <w:pPr>
        <w:pStyle w:val="NormalWeb"/>
        <w:spacing w:before="0" w:beforeAutospacing="0" w:after="0" w:afterAutospacing="0"/>
        <w:ind w:left="540"/>
        <w:rPr>
          <w:rFonts w:eastAsiaTheme="minorHAnsi"/>
        </w:rPr>
      </w:pPr>
      <w:r>
        <w:rPr>
          <w:noProof/>
        </w:rPr>
        <w:lastRenderedPageBreak/>
        <w:drawing>
          <wp:inline distT="0" distB="0" distL="0" distR="0" wp14:anchorId="46024482" wp14:editId="48A5C1BF">
            <wp:extent cx="3947160" cy="5120640"/>
            <wp:effectExtent l="0" t="0" r="1524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947160" cy="5120640"/>
                    </a:xfrm>
                    <a:prstGeom prst="rect">
                      <a:avLst/>
                    </a:prstGeom>
                    <a:noFill/>
                    <a:ln>
                      <a:noFill/>
                    </a:ln>
                  </pic:spPr>
                </pic:pic>
              </a:graphicData>
            </a:graphic>
          </wp:inline>
        </w:drawing>
      </w:r>
    </w:p>
    <w:p w14:paraId="498498EE" w14:textId="77777777" w:rsidR="001B7128" w:rsidRDefault="001B7128" w:rsidP="001B7128">
      <w:pPr>
        <w:pStyle w:val="NormalWeb"/>
        <w:spacing w:before="0" w:beforeAutospacing="0" w:after="0" w:afterAutospacing="0"/>
      </w:pPr>
      <w:r>
        <w:t> </w:t>
      </w:r>
    </w:p>
    <w:p w14:paraId="7EEBB40E" w14:textId="77777777" w:rsidR="001B7128" w:rsidRDefault="001B7128" w:rsidP="001B7128">
      <w:pPr>
        <w:pStyle w:val="NormalWeb"/>
        <w:spacing w:before="0" w:beforeAutospacing="0" w:after="0" w:afterAutospacing="0"/>
        <w:rPr>
          <w:rFonts w:ascii="Arial" w:hAnsi="Arial" w:cs="Arial"/>
          <w:color w:val="969696"/>
          <w:sz w:val="18"/>
          <w:szCs w:val="18"/>
        </w:rPr>
      </w:pPr>
    </w:p>
    <w:p w14:paraId="443F6AE4" w14:textId="77777777" w:rsidR="00241DFC" w:rsidRPr="00845C18" w:rsidRDefault="00241DFC" w:rsidP="001B7128"/>
    <w:sectPr w:rsidR="00241DFC" w:rsidRPr="00845C18" w:rsidSect="00395437">
      <w:headerReference w:type="default" r:id="rId34"/>
      <w:pgSz w:w="12240" w:h="15840"/>
      <w:pgMar w:top="3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30E4" w14:textId="77777777" w:rsidR="006A3C06" w:rsidRDefault="006A3C06" w:rsidP="000E01B2">
      <w:r>
        <w:separator/>
      </w:r>
    </w:p>
  </w:endnote>
  <w:endnote w:type="continuationSeparator" w:id="0">
    <w:p w14:paraId="32CC6829" w14:textId="77777777" w:rsidR="006A3C06" w:rsidRDefault="006A3C06" w:rsidP="000E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063B" w14:textId="77777777" w:rsidR="006A3C06" w:rsidRDefault="006A3C06" w:rsidP="000E01B2">
      <w:r>
        <w:separator/>
      </w:r>
    </w:p>
  </w:footnote>
  <w:footnote w:type="continuationSeparator" w:id="0">
    <w:p w14:paraId="418664E5" w14:textId="77777777" w:rsidR="006A3C06" w:rsidRDefault="006A3C06" w:rsidP="000E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96C6" w14:textId="1CA060AC" w:rsidR="000E01B2" w:rsidRDefault="00475CED">
    <w:pPr>
      <w:pStyle w:val="Header"/>
    </w:pPr>
    <w:r>
      <w:rPr>
        <w:noProof/>
      </w:rPr>
      <mc:AlternateContent>
        <mc:Choice Requires="wps">
          <w:drawing>
            <wp:anchor distT="0" distB="0" distL="114300" distR="114300" simplePos="0" relativeHeight="251657215" behindDoc="0" locked="0" layoutInCell="1" allowOverlap="1" wp14:anchorId="4BF4CED6" wp14:editId="017505EB">
              <wp:simplePos x="0" y="0"/>
              <wp:positionH relativeFrom="column">
                <wp:posOffset>-209550</wp:posOffset>
              </wp:positionH>
              <wp:positionV relativeFrom="paragraph">
                <wp:posOffset>219075</wp:posOffset>
              </wp:positionV>
              <wp:extent cx="6581775" cy="10763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6581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48CE2" id="Rectangle 129" o:spid="_x0000_s1026" style="position:absolute;margin-left:-16.5pt;margin-top:17.25pt;width:518.25pt;height:84.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" fillcolor="#4472c4 [3204]" strokecolor="#1f3763 [1604]" strokeweight="1pt"/>
          </w:pict>
        </mc:Fallback>
      </mc:AlternateContent>
    </w:r>
    <w:r w:rsidR="00CE67CD">
      <w:rPr>
        <w:noProof/>
      </w:rPr>
      <w:drawing>
        <wp:anchor distT="0" distB="0" distL="114300" distR="114300" simplePos="0" relativeHeight="251659264" behindDoc="0" locked="0" layoutInCell="1" allowOverlap="1" wp14:anchorId="0AD90A0D" wp14:editId="3504556D">
          <wp:simplePos x="0" y="0"/>
          <wp:positionH relativeFrom="column">
            <wp:posOffset>-123825</wp:posOffset>
          </wp:positionH>
          <wp:positionV relativeFrom="paragraph">
            <wp:posOffset>266700</wp:posOffset>
          </wp:positionV>
          <wp:extent cx="876574" cy="990600"/>
          <wp:effectExtent l="0" t="0" r="0" b="0"/>
          <wp:wrapNone/>
          <wp:docPr id="58" name="Picture 58"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picture containing text, porcelain&#10;&#10;Description automatically generated"/>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879606" cy="994026"/>
                  </a:xfrm>
                  <a:prstGeom prst="rect">
                    <a:avLst/>
                  </a:prstGeom>
                  <a:solidFill>
                    <a:srgbClr val="4472C4"/>
                  </a:solidFill>
                </pic:spPr>
              </pic:pic>
            </a:graphicData>
          </a:graphic>
          <wp14:sizeRelH relativeFrom="page">
            <wp14:pctWidth>0</wp14:pctWidth>
          </wp14:sizeRelH>
          <wp14:sizeRelV relativeFrom="page">
            <wp14:pctHeight>0</wp14:pctHeight>
          </wp14:sizeRelV>
        </wp:anchor>
      </w:drawing>
    </w:r>
    <w:r w:rsidR="00E52B17">
      <w:rPr>
        <w:noProof/>
      </w:rPr>
      <mc:AlternateContent>
        <mc:Choice Requires="wps">
          <w:drawing>
            <wp:anchor distT="0" distB="0" distL="114300" distR="114300" simplePos="0" relativeHeight="251658240" behindDoc="0" locked="0" layoutInCell="1" allowOverlap="1" wp14:anchorId="6D62EC87" wp14:editId="5B6CC691">
              <wp:simplePos x="0" y="0"/>
              <wp:positionH relativeFrom="column">
                <wp:posOffset>923925</wp:posOffset>
              </wp:positionH>
              <wp:positionV relativeFrom="paragraph">
                <wp:posOffset>352425</wp:posOffset>
              </wp:positionV>
              <wp:extent cx="4337685" cy="8001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4337685" cy="800100"/>
                      </a:xfrm>
                      <a:prstGeom prst="rect">
                        <a:avLst/>
                      </a:prstGeom>
                      <a:solidFill>
                        <a:srgbClr val="4472C4"/>
                      </a:solidFill>
                      <a:ln w="6350">
                        <a:noFill/>
                      </a:ln>
                    </wps:spPr>
                    <wps:txbx>
                      <w:txbxContent>
                        <w:p w14:paraId="6184B838" w14:textId="5A694251"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 xml:space="preserve">Vermont </w:t>
                          </w:r>
                          <w:r w:rsidR="002D0297">
                            <w:rPr>
                              <w:rFonts w:ascii="Franklin Gothic Demi Cond" w:hAnsi="Franklin Gothic Demi Cond"/>
                              <w:color w:val="FFFFFF" w:themeColor="background1"/>
                              <w:sz w:val="36"/>
                              <w:szCs w:val="36"/>
                            </w:rPr>
                            <w:t>Giglio Database Study Committee</w:t>
                          </w:r>
                        </w:p>
                        <w:p w14:paraId="41140E03" w14:textId="3C80FD5D" w:rsidR="00E52B17" w:rsidRDefault="002D0297">
                          <w:pPr>
                            <w:rPr>
                              <w:rFonts w:ascii="Franklin Gothic Demi Cond" w:hAnsi="Franklin Gothic Demi Cond"/>
                              <w:color w:val="BFBFBF" w:themeColor="background1" w:themeShade="BF"/>
                              <w:sz w:val="32"/>
                              <w:szCs w:val="32"/>
                            </w:rPr>
                          </w:pPr>
                          <w:proofErr w:type="gramStart"/>
                          <w:r>
                            <w:rPr>
                              <w:rFonts w:ascii="Franklin Gothic Demi Cond" w:hAnsi="Franklin Gothic Demi Cond"/>
                              <w:color w:val="BFBFBF" w:themeColor="background1" w:themeShade="BF"/>
                              <w:sz w:val="32"/>
                              <w:szCs w:val="32"/>
                            </w:rPr>
                            <w:t>Meeting</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EF46D3">
                            <w:rPr>
                              <w:rFonts w:ascii="Franklin Gothic Demi Cond" w:hAnsi="Franklin Gothic Demi Cond"/>
                              <w:color w:val="BFBFBF" w:themeColor="background1" w:themeShade="BF"/>
                              <w:sz w:val="32"/>
                              <w:szCs w:val="32"/>
                            </w:rPr>
                            <w:t>Minutes</w:t>
                          </w:r>
                          <w:proofErr w:type="gramEnd"/>
                          <w:r w:rsidR="00F20AC5">
                            <w:rPr>
                              <w:rFonts w:ascii="Franklin Gothic Demi Cond" w:hAnsi="Franklin Gothic Demi Cond"/>
                              <w:color w:val="BFBFBF" w:themeColor="background1" w:themeShade="BF"/>
                              <w:sz w:val="32"/>
                              <w:szCs w:val="32"/>
                            </w:rPr>
                            <w:t xml:space="preserve"> </w:t>
                          </w:r>
                        </w:p>
                        <w:p w14:paraId="31BB58A1" w14:textId="73788E41" w:rsidR="005A5F34" w:rsidRPr="000D232E" w:rsidRDefault="00AF5376" w:rsidP="001A7D6A">
                          <w:pPr>
                            <w:jc w:val="both"/>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September 22</w:t>
                          </w:r>
                          <w:r w:rsidR="005A5F34" w:rsidRPr="00E52B17">
                            <w:rPr>
                              <w:rFonts w:ascii="Franklin Gothic Demi Cond" w:hAnsi="Franklin Gothic Demi Cond"/>
                              <w:color w:val="BFBFBF" w:themeColor="background1" w:themeShade="BF"/>
                              <w:sz w:val="24"/>
                              <w:szCs w:val="24"/>
                            </w:rPr>
                            <w:t>, 202</w:t>
                          </w:r>
                          <w:r w:rsidR="002D0297">
                            <w:rPr>
                              <w:rFonts w:ascii="Franklin Gothic Demi Cond" w:hAnsi="Franklin Gothic Demi Cond"/>
                              <w:color w:val="BFBFBF" w:themeColor="background1" w:themeShade="BF"/>
                              <w:sz w:val="24"/>
                              <w:szCs w:val="24"/>
                            </w:rPr>
                            <w:t>2</w:t>
                          </w:r>
                          <w:r w:rsidR="00086A62">
                            <w:rPr>
                              <w:rFonts w:ascii="Franklin Gothic Demi Cond" w:hAnsi="Franklin Gothic Demi Cond"/>
                              <w:color w:val="BFBFBF" w:themeColor="background1" w:themeShade="BF"/>
                              <w:sz w:val="24"/>
                              <w:szCs w:val="24"/>
                            </w:rPr>
                            <w:t xml:space="preserve"> </w:t>
                          </w:r>
                          <w:r w:rsidR="00957587">
                            <w:rPr>
                              <w:rFonts w:ascii="Franklin Gothic Demi Cond" w:hAnsi="Franklin Gothic Demi Cond"/>
                              <w:color w:val="BFBFBF" w:themeColor="background1" w:themeShade="BF"/>
                              <w:sz w:val="24"/>
                              <w:szCs w:val="24"/>
                            </w:rPr>
                            <w:t>(</w:t>
                          </w:r>
                          <w:r w:rsidR="00EF46D3">
                            <w:rPr>
                              <w:rFonts w:ascii="Franklin Gothic Demi Cond" w:hAnsi="Franklin Gothic Demi Cond"/>
                              <w:color w:val="BFBFBF" w:themeColor="background1" w:themeShade="BF"/>
                              <w:sz w:val="24"/>
                              <w:szCs w:val="24"/>
                            </w:rPr>
                            <w:t>1300</w:t>
                          </w:r>
                          <w:r w:rsidR="00967D6D">
                            <w:rPr>
                              <w:rFonts w:ascii="Franklin Gothic Demi Cond" w:hAnsi="Franklin Gothic Demi Cond"/>
                              <w:color w:val="BFBFBF" w:themeColor="background1" w:themeShade="BF"/>
                              <w:sz w:val="24"/>
                              <w:szCs w:val="24"/>
                            </w:rPr>
                            <w:t xml:space="preserve"> </w:t>
                          </w:r>
                          <w:r w:rsidR="001A7D6A">
                            <w:rPr>
                              <w:rFonts w:ascii="Franklin Gothic Demi Cond" w:hAnsi="Franklin Gothic Demi Cond"/>
                              <w:color w:val="BFBFBF" w:themeColor="background1" w:themeShade="BF"/>
                              <w:sz w:val="24"/>
                              <w:szCs w:val="24"/>
                            </w:rPr>
                            <w:t xml:space="preserve">– </w:t>
                          </w:r>
                          <w:r w:rsidR="00967D6D">
                            <w:rPr>
                              <w:rFonts w:ascii="Franklin Gothic Demi Cond" w:hAnsi="Franklin Gothic Demi Cond"/>
                              <w:color w:val="BFBFBF" w:themeColor="background1" w:themeShade="BF"/>
                              <w:sz w:val="24"/>
                              <w:szCs w:val="24"/>
                            </w:rPr>
                            <w:t>1</w:t>
                          </w:r>
                          <w:r w:rsidR="00EF46D3">
                            <w:rPr>
                              <w:rFonts w:ascii="Franklin Gothic Demi Cond" w:hAnsi="Franklin Gothic Demi Cond"/>
                              <w:color w:val="BFBFBF" w:themeColor="background1" w:themeShade="BF"/>
                              <w:sz w:val="24"/>
                              <w:szCs w:val="24"/>
                            </w:rPr>
                            <w:t>400</w:t>
                          </w:r>
                          <w:r w:rsidR="00957587">
                            <w:rPr>
                              <w:rFonts w:ascii="Franklin Gothic Demi Cond" w:hAnsi="Franklin Gothic Demi Cond"/>
                              <w:color w:val="BFBFBF" w:themeColor="background1" w:themeShade="B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5pt;margin-top:27.75pt;width:341.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" fillcolor="#4472c4" stroked="f" strokeweight=".5pt">
              <v:textbox>
                <w:txbxContent>
                  <w:p w14:paraId="6184B838" w14:textId="5A694251"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 xml:space="preserve">Vermont </w:t>
                    </w:r>
                    <w:r w:rsidR="002D0297">
                      <w:rPr>
                        <w:rFonts w:ascii="Franklin Gothic Demi Cond" w:hAnsi="Franklin Gothic Demi Cond"/>
                        <w:color w:val="FFFFFF" w:themeColor="background1"/>
                        <w:sz w:val="36"/>
                        <w:szCs w:val="36"/>
                      </w:rPr>
                      <w:t>Giglio Database Study Committee</w:t>
                    </w:r>
                  </w:p>
                  <w:p w14:paraId="41140E03" w14:textId="3C80FD5D" w:rsidR="00E52B17" w:rsidRDefault="002D0297">
                    <w:pPr>
                      <w:rPr>
                        <w:rFonts w:ascii="Franklin Gothic Demi Cond" w:hAnsi="Franklin Gothic Demi Cond"/>
                        <w:color w:val="BFBFBF" w:themeColor="background1" w:themeShade="BF"/>
                        <w:sz w:val="32"/>
                        <w:szCs w:val="32"/>
                      </w:rPr>
                    </w:pPr>
                    <w:proofErr w:type="gramStart"/>
                    <w:r>
                      <w:rPr>
                        <w:rFonts w:ascii="Franklin Gothic Demi Cond" w:hAnsi="Franklin Gothic Demi Cond"/>
                        <w:color w:val="BFBFBF" w:themeColor="background1" w:themeShade="BF"/>
                        <w:sz w:val="32"/>
                        <w:szCs w:val="32"/>
                      </w:rPr>
                      <w:t>Meeting</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EF46D3">
                      <w:rPr>
                        <w:rFonts w:ascii="Franklin Gothic Demi Cond" w:hAnsi="Franklin Gothic Demi Cond"/>
                        <w:color w:val="BFBFBF" w:themeColor="background1" w:themeShade="BF"/>
                        <w:sz w:val="32"/>
                        <w:szCs w:val="32"/>
                      </w:rPr>
                      <w:t>Minutes</w:t>
                    </w:r>
                    <w:proofErr w:type="gramEnd"/>
                    <w:r w:rsidR="00F20AC5">
                      <w:rPr>
                        <w:rFonts w:ascii="Franklin Gothic Demi Cond" w:hAnsi="Franklin Gothic Demi Cond"/>
                        <w:color w:val="BFBFBF" w:themeColor="background1" w:themeShade="BF"/>
                        <w:sz w:val="32"/>
                        <w:szCs w:val="32"/>
                      </w:rPr>
                      <w:t xml:space="preserve"> </w:t>
                    </w:r>
                  </w:p>
                  <w:p w14:paraId="31BB58A1" w14:textId="73788E41" w:rsidR="005A5F34" w:rsidRPr="000D232E" w:rsidRDefault="00AF5376" w:rsidP="001A7D6A">
                    <w:pPr>
                      <w:jc w:val="both"/>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September 22</w:t>
                    </w:r>
                    <w:r w:rsidR="005A5F34" w:rsidRPr="00E52B17">
                      <w:rPr>
                        <w:rFonts w:ascii="Franklin Gothic Demi Cond" w:hAnsi="Franklin Gothic Demi Cond"/>
                        <w:color w:val="BFBFBF" w:themeColor="background1" w:themeShade="BF"/>
                        <w:sz w:val="24"/>
                        <w:szCs w:val="24"/>
                      </w:rPr>
                      <w:t>, 202</w:t>
                    </w:r>
                    <w:r w:rsidR="002D0297">
                      <w:rPr>
                        <w:rFonts w:ascii="Franklin Gothic Demi Cond" w:hAnsi="Franklin Gothic Demi Cond"/>
                        <w:color w:val="BFBFBF" w:themeColor="background1" w:themeShade="BF"/>
                        <w:sz w:val="24"/>
                        <w:szCs w:val="24"/>
                      </w:rPr>
                      <w:t>2</w:t>
                    </w:r>
                    <w:r w:rsidR="00086A62">
                      <w:rPr>
                        <w:rFonts w:ascii="Franklin Gothic Demi Cond" w:hAnsi="Franklin Gothic Demi Cond"/>
                        <w:color w:val="BFBFBF" w:themeColor="background1" w:themeShade="BF"/>
                        <w:sz w:val="24"/>
                        <w:szCs w:val="24"/>
                      </w:rPr>
                      <w:t xml:space="preserve"> </w:t>
                    </w:r>
                    <w:r w:rsidR="00957587">
                      <w:rPr>
                        <w:rFonts w:ascii="Franklin Gothic Demi Cond" w:hAnsi="Franklin Gothic Demi Cond"/>
                        <w:color w:val="BFBFBF" w:themeColor="background1" w:themeShade="BF"/>
                        <w:sz w:val="24"/>
                        <w:szCs w:val="24"/>
                      </w:rPr>
                      <w:t>(</w:t>
                    </w:r>
                    <w:r w:rsidR="00EF46D3">
                      <w:rPr>
                        <w:rFonts w:ascii="Franklin Gothic Demi Cond" w:hAnsi="Franklin Gothic Demi Cond"/>
                        <w:color w:val="BFBFBF" w:themeColor="background1" w:themeShade="BF"/>
                        <w:sz w:val="24"/>
                        <w:szCs w:val="24"/>
                      </w:rPr>
                      <w:t>1300</w:t>
                    </w:r>
                    <w:r w:rsidR="00967D6D">
                      <w:rPr>
                        <w:rFonts w:ascii="Franklin Gothic Demi Cond" w:hAnsi="Franklin Gothic Demi Cond"/>
                        <w:color w:val="BFBFBF" w:themeColor="background1" w:themeShade="BF"/>
                        <w:sz w:val="24"/>
                        <w:szCs w:val="24"/>
                      </w:rPr>
                      <w:t xml:space="preserve"> </w:t>
                    </w:r>
                    <w:r w:rsidR="001A7D6A">
                      <w:rPr>
                        <w:rFonts w:ascii="Franklin Gothic Demi Cond" w:hAnsi="Franklin Gothic Demi Cond"/>
                        <w:color w:val="BFBFBF" w:themeColor="background1" w:themeShade="BF"/>
                        <w:sz w:val="24"/>
                        <w:szCs w:val="24"/>
                      </w:rPr>
                      <w:t xml:space="preserve">– </w:t>
                    </w:r>
                    <w:r w:rsidR="00967D6D">
                      <w:rPr>
                        <w:rFonts w:ascii="Franklin Gothic Demi Cond" w:hAnsi="Franklin Gothic Demi Cond"/>
                        <w:color w:val="BFBFBF" w:themeColor="background1" w:themeShade="BF"/>
                        <w:sz w:val="24"/>
                        <w:szCs w:val="24"/>
                      </w:rPr>
                      <w:t>1</w:t>
                    </w:r>
                    <w:r w:rsidR="00EF46D3">
                      <w:rPr>
                        <w:rFonts w:ascii="Franklin Gothic Demi Cond" w:hAnsi="Franklin Gothic Demi Cond"/>
                        <w:color w:val="BFBFBF" w:themeColor="background1" w:themeShade="BF"/>
                        <w:sz w:val="24"/>
                        <w:szCs w:val="24"/>
                      </w:rPr>
                      <w:t>400</w:t>
                    </w:r>
                    <w:r w:rsidR="00957587">
                      <w:rPr>
                        <w:rFonts w:ascii="Franklin Gothic Demi Cond" w:hAnsi="Franklin Gothic Demi Cond"/>
                        <w:color w:val="BFBFBF" w:themeColor="background1" w:themeShade="BF"/>
                        <w:sz w:val="24"/>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6E"/>
    <w:multiLevelType w:val="multilevel"/>
    <w:tmpl w:val="26D2AB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F204DF"/>
    <w:multiLevelType w:val="hybridMultilevel"/>
    <w:tmpl w:val="7F660B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732F2"/>
    <w:multiLevelType w:val="multilevel"/>
    <w:tmpl w:val="4A52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5314"/>
    <w:multiLevelType w:val="hybridMultilevel"/>
    <w:tmpl w:val="63BCB386"/>
    <w:lvl w:ilvl="0" w:tplc="CA92CAB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454C4"/>
    <w:multiLevelType w:val="hybridMultilevel"/>
    <w:tmpl w:val="406E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20E7B"/>
    <w:multiLevelType w:val="hybridMultilevel"/>
    <w:tmpl w:val="DD209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D5D73"/>
    <w:multiLevelType w:val="hybridMultilevel"/>
    <w:tmpl w:val="9CC23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4E243A3"/>
    <w:multiLevelType w:val="hybridMultilevel"/>
    <w:tmpl w:val="FC4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46D13"/>
    <w:multiLevelType w:val="multilevel"/>
    <w:tmpl w:val="7E0E7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671BA3"/>
    <w:multiLevelType w:val="hybridMultilevel"/>
    <w:tmpl w:val="CB3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DEB"/>
    <w:multiLevelType w:val="multilevel"/>
    <w:tmpl w:val="860A8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B12801"/>
    <w:multiLevelType w:val="hybridMultilevel"/>
    <w:tmpl w:val="BEFC44EA"/>
    <w:lvl w:ilvl="0" w:tplc="1646042C">
      <w:start w:val="1"/>
      <w:numFmt w:val="bullet"/>
      <w:lvlText w:val="•"/>
      <w:lvlJc w:val="left"/>
      <w:pPr>
        <w:tabs>
          <w:tab w:val="num" w:pos="720"/>
        </w:tabs>
        <w:ind w:left="720" w:hanging="360"/>
      </w:pPr>
      <w:rPr>
        <w:rFonts w:ascii="Arial" w:hAnsi="Arial" w:hint="default"/>
      </w:rPr>
    </w:lvl>
    <w:lvl w:ilvl="1" w:tplc="82C2D564">
      <w:numFmt w:val="bullet"/>
      <w:lvlText w:val="•"/>
      <w:lvlJc w:val="left"/>
      <w:pPr>
        <w:tabs>
          <w:tab w:val="num" w:pos="1440"/>
        </w:tabs>
        <w:ind w:left="1440" w:hanging="360"/>
      </w:pPr>
      <w:rPr>
        <w:rFonts w:ascii="Arial" w:hAnsi="Arial" w:hint="default"/>
      </w:rPr>
    </w:lvl>
    <w:lvl w:ilvl="2" w:tplc="E6B67F80">
      <w:numFmt w:val="bullet"/>
      <w:lvlText w:val="•"/>
      <w:lvlJc w:val="left"/>
      <w:pPr>
        <w:tabs>
          <w:tab w:val="num" w:pos="2160"/>
        </w:tabs>
        <w:ind w:left="2160" w:hanging="360"/>
      </w:pPr>
      <w:rPr>
        <w:rFonts w:ascii="Arial" w:hAnsi="Arial" w:hint="default"/>
      </w:rPr>
    </w:lvl>
    <w:lvl w:ilvl="3" w:tplc="F0441C76" w:tentative="1">
      <w:start w:val="1"/>
      <w:numFmt w:val="bullet"/>
      <w:lvlText w:val="•"/>
      <w:lvlJc w:val="left"/>
      <w:pPr>
        <w:tabs>
          <w:tab w:val="num" w:pos="2880"/>
        </w:tabs>
        <w:ind w:left="2880" w:hanging="360"/>
      </w:pPr>
      <w:rPr>
        <w:rFonts w:ascii="Arial" w:hAnsi="Arial" w:hint="default"/>
      </w:rPr>
    </w:lvl>
    <w:lvl w:ilvl="4" w:tplc="3340ABC0" w:tentative="1">
      <w:start w:val="1"/>
      <w:numFmt w:val="bullet"/>
      <w:lvlText w:val="•"/>
      <w:lvlJc w:val="left"/>
      <w:pPr>
        <w:tabs>
          <w:tab w:val="num" w:pos="3600"/>
        </w:tabs>
        <w:ind w:left="3600" w:hanging="360"/>
      </w:pPr>
      <w:rPr>
        <w:rFonts w:ascii="Arial" w:hAnsi="Arial" w:hint="default"/>
      </w:rPr>
    </w:lvl>
    <w:lvl w:ilvl="5" w:tplc="8C5419D0" w:tentative="1">
      <w:start w:val="1"/>
      <w:numFmt w:val="bullet"/>
      <w:lvlText w:val="•"/>
      <w:lvlJc w:val="left"/>
      <w:pPr>
        <w:tabs>
          <w:tab w:val="num" w:pos="4320"/>
        </w:tabs>
        <w:ind w:left="4320" w:hanging="360"/>
      </w:pPr>
      <w:rPr>
        <w:rFonts w:ascii="Arial" w:hAnsi="Arial" w:hint="default"/>
      </w:rPr>
    </w:lvl>
    <w:lvl w:ilvl="6" w:tplc="88A6D5A2" w:tentative="1">
      <w:start w:val="1"/>
      <w:numFmt w:val="bullet"/>
      <w:lvlText w:val="•"/>
      <w:lvlJc w:val="left"/>
      <w:pPr>
        <w:tabs>
          <w:tab w:val="num" w:pos="5040"/>
        </w:tabs>
        <w:ind w:left="5040" w:hanging="360"/>
      </w:pPr>
      <w:rPr>
        <w:rFonts w:ascii="Arial" w:hAnsi="Arial" w:hint="default"/>
      </w:rPr>
    </w:lvl>
    <w:lvl w:ilvl="7" w:tplc="4A121C92" w:tentative="1">
      <w:start w:val="1"/>
      <w:numFmt w:val="bullet"/>
      <w:lvlText w:val="•"/>
      <w:lvlJc w:val="left"/>
      <w:pPr>
        <w:tabs>
          <w:tab w:val="num" w:pos="5760"/>
        </w:tabs>
        <w:ind w:left="5760" w:hanging="360"/>
      </w:pPr>
      <w:rPr>
        <w:rFonts w:ascii="Arial" w:hAnsi="Arial" w:hint="default"/>
      </w:rPr>
    </w:lvl>
    <w:lvl w:ilvl="8" w:tplc="6744FB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1F1CFF"/>
    <w:multiLevelType w:val="multilevel"/>
    <w:tmpl w:val="35F69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AD0FCA"/>
    <w:multiLevelType w:val="hybridMultilevel"/>
    <w:tmpl w:val="B50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339D8"/>
    <w:multiLevelType w:val="multilevel"/>
    <w:tmpl w:val="C6740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674E32"/>
    <w:multiLevelType w:val="hybridMultilevel"/>
    <w:tmpl w:val="765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926FF"/>
    <w:multiLevelType w:val="hybridMultilevel"/>
    <w:tmpl w:val="5AA4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63"/>
    <w:multiLevelType w:val="multilevel"/>
    <w:tmpl w:val="3132B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43049"/>
    <w:multiLevelType w:val="hybridMultilevel"/>
    <w:tmpl w:val="4C5029E0"/>
    <w:lvl w:ilvl="0" w:tplc="FAD2DBF8">
      <w:start w:val="1"/>
      <w:numFmt w:val="bullet"/>
      <w:lvlText w:val="•"/>
      <w:lvlJc w:val="left"/>
      <w:pPr>
        <w:tabs>
          <w:tab w:val="num" w:pos="720"/>
        </w:tabs>
        <w:ind w:left="720" w:hanging="360"/>
      </w:pPr>
      <w:rPr>
        <w:rFonts w:ascii="Arial" w:hAnsi="Arial" w:hint="default"/>
      </w:rPr>
    </w:lvl>
    <w:lvl w:ilvl="1" w:tplc="50C052F2">
      <w:numFmt w:val="bullet"/>
      <w:lvlText w:val="•"/>
      <w:lvlJc w:val="left"/>
      <w:pPr>
        <w:tabs>
          <w:tab w:val="num" w:pos="1440"/>
        </w:tabs>
        <w:ind w:left="1440" w:hanging="360"/>
      </w:pPr>
      <w:rPr>
        <w:rFonts w:ascii="Arial" w:hAnsi="Arial" w:hint="default"/>
      </w:rPr>
    </w:lvl>
    <w:lvl w:ilvl="2" w:tplc="91840FB6">
      <w:numFmt w:val="bullet"/>
      <w:lvlText w:val="•"/>
      <w:lvlJc w:val="left"/>
      <w:pPr>
        <w:tabs>
          <w:tab w:val="num" w:pos="2160"/>
        </w:tabs>
        <w:ind w:left="2160" w:hanging="360"/>
      </w:pPr>
      <w:rPr>
        <w:rFonts w:ascii="Arial" w:hAnsi="Arial" w:hint="default"/>
      </w:rPr>
    </w:lvl>
    <w:lvl w:ilvl="3" w:tplc="F6E2E2B8" w:tentative="1">
      <w:start w:val="1"/>
      <w:numFmt w:val="bullet"/>
      <w:lvlText w:val="•"/>
      <w:lvlJc w:val="left"/>
      <w:pPr>
        <w:tabs>
          <w:tab w:val="num" w:pos="2880"/>
        </w:tabs>
        <w:ind w:left="2880" w:hanging="360"/>
      </w:pPr>
      <w:rPr>
        <w:rFonts w:ascii="Arial" w:hAnsi="Arial" w:hint="default"/>
      </w:rPr>
    </w:lvl>
    <w:lvl w:ilvl="4" w:tplc="433E30CA" w:tentative="1">
      <w:start w:val="1"/>
      <w:numFmt w:val="bullet"/>
      <w:lvlText w:val="•"/>
      <w:lvlJc w:val="left"/>
      <w:pPr>
        <w:tabs>
          <w:tab w:val="num" w:pos="3600"/>
        </w:tabs>
        <w:ind w:left="3600" w:hanging="360"/>
      </w:pPr>
      <w:rPr>
        <w:rFonts w:ascii="Arial" w:hAnsi="Arial" w:hint="default"/>
      </w:rPr>
    </w:lvl>
    <w:lvl w:ilvl="5" w:tplc="375C2A32" w:tentative="1">
      <w:start w:val="1"/>
      <w:numFmt w:val="bullet"/>
      <w:lvlText w:val="•"/>
      <w:lvlJc w:val="left"/>
      <w:pPr>
        <w:tabs>
          <w:tab w:val="num" w:pos="4320"/>
        </w:tabs>
        <w:ind w:left="4320" w:hanging="360"/>
      </w:pPr>
      <w:rPr>
        <w:rFonts w:ascii="Arial" w:hAnsi="Arial" w:hint="default"/>
      </w:rPr>
    </w:lvl>
    <w:lvl w:ilvl="6" w:tplc="338E2808" w:tentative="1">
      <w:start w:val="1"/>
      <w:numFmt w:val="bullet"/>
      <w:lvlText w:val="•"/>
      <w:lvlJc w:val="left"/>
      <w:pPr>
        <w:tabs>
          <w:tab w:val="num" w:pos="5040"/>
        </w:tabs>
        <w:ind w:left="5040" w:hanging="360"/>
      </w:pPr>
      <w:rPr>
        <w:rFonts w:ascii="Arial" w:hAnsi="Arial" w:hint="default"/>
      </w:rPr>
    </w:lvl>
    <w:lvl w:ilvl="7" w:tplc="04EAF594" w:tentative="1">
      <w:start w:val="1"/>
      <w:numFmt w:val="bullet"/>
      <w:lvlText w:val="•"/>
      <w:lvlJc w:val="left"/>
      <w:pPr>
        <w:tabs>
          <w:tab w:val="num" w:pos="5760"/>
        </w:tabs>
        <w:ind w:left="5760" w:hanging="360"/>
      </w:pPr>
      <w:rPr>
        <w:rFonts w:ascii="Arial" w:hAnsi="Arial" w:hint="default"/>
      </w:rPr>
    </w:lvl>
    <w:lvl w:ilvl="8" w:tplc="B8367D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1B75B5"/>
    <w:multiLevelType w:val="hybridMultilevel"/>
    <w:tmpl w:val="D93A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F26A3"/>
    <w:multiLevelType w:val="multilevel"/>
    <w:tmpl w:val="F6642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01613"/>
    <w:multiLevelType w:val="hybridMultilevel"/>
    <w:tmpl w:val="FC40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0121"/>
    <w:multiLevelType w:val="hybridMultilevel"/>
    <w:tmpl w:val="C25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D3AC7"/>
    <w:multiLevelType w:val="hybridMultilevel"/>
    <w:tmpl w:val="506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503564">
    <w:abstractNumId w:val="31"/>
  </w:num>
  <w:num w:numId="2" w16cid:durableId="1904413565">
    <w:abstractNumId w:val="11"/>
  </w:num>
  <w:num w:numId="3" w16cid:durableId="1957174496">
    <w:abstractNumId w:val="33"/>
  </w:num>
  <w:num w:numId="4" w16cid:durableId="1226724240">
    <w:abstractNumId w:val="8"/>
  </w:num>
  <w:num w:numId="5" w16cid:durableId="328679728">
    <w:abstractNumId w:val="17"/>
  </w:num>
  <w:num w:numId="6" w16cid:durableId="1652565662">
    <w:abstractNumId w:val="15"/>
  </w:num>
  <w:num w:numId="7" w16cid:durableId="395982141">
    <w:abstractNumId w:val="6"/>
  </w:num>
  <w:num w:numId="8" w16cid:durableId="1068918620">
    <w:abstractNumId w:val="41"/>
  </w:num>
  <w:num w:numId="9" w16cid:durableId="1986473884">
    <w:abstractNumId w:val="4"/>
  </w:num>
  <w:num w:numId="10" w16cid:durableId="26831125">
    <w:abstractNumId w:val="2"/>
  </w:num>
  <w:num w:numId="11" w16cid:durableId="2022703875">
    <w:abstractNumId w:val="19"/>
  </w:num>
  <w:num w:numId="12" w16cid:durableId="480078058">
    <w:abstractNumId w:val="14"/>
  </w:num>
  <w:num w:numId="13" w16cid:durableId="1362434775">
    <w:abstractNumId w:val="9"/>
  </w:num>
  <w:num w:numId="14" w16cid:durableId="12459393">
    <w:abstractNumId w:val="43"/>
  </w:num>
  <w:num w:numId="15" w16cid:durableId="153452270">
    <w:abstractNumId w:val="13"/>
  </w:num>
  <w:num w:numId="16" w16cid:durableId="1242443715">
    <w:abstractNumId w:val="16"/>
  </w:num>
  <w:num w:numId="17" w16cid:durableId="1570841378">
    <w:abstractNumId w:val="36"/>
  </w:num>
  <w:num w:numId="18" w16cid:durableId="945767387">
    <w:abstractNumId w:val="39"/>
  </w:num>
  <w:num w:numId="19" w16cid:durableId="1570454163">
    <w:abstractNumId w:val="12"/>
  </w:num>
  <w:num w:numId="20" w16cid:durableId="780877828">
    <w:abstractNumId w:val="29"/>
  </w:num>
  <w:num w:numId="21" w16cid:durableId="1883253270">
    <w:abstractNumId w:val="10"/>
  </w:num>
  <w:num w:numId="22" w16cid:durableId="61373331">
    <w:abstractNumId w:val="30"/>
  </w:num>
  <w:num w:numId="23" w16cid:durableId="1216551033">
    <w:abstractNumId w:val="1"/>
  </w:num>
  <w:num w:numId="24" w16cid:durableId="1114980401">
    <w:abstractNumId w:val="38"/>
  </w:num>
  <w:num w:numId="25" w16cid:durableId="1852404258">
    <w:abstractNumId w:val="20"/>
  </w:num>
  <w:num w:numId="26" w16cid:durableId="255527620">
    <w:abstractNumId w:val="35"/>
  </w:num>
  <w:num w:numId="27" w16cid:durableId="1671785488">
    <w:abstractNumId w:val="1"/>
  </w:num>
  <w:num w:numId="28" w16cid:durableId="1627814254">
    <w:abstractNumId w:val="20"/>
  </w:num>
  <w:num w:numId="29" w16cid:durableId="1811946868">
    <w:abstractNumId w:val="40"/>
  </w:num>
  <w:num w:numId="30" w16cid:durableId="625088247">
    <w:abstractNumId w:val="7"/>
  </w:num>
  <w:num w:numId="31" w16cid:durableId="1933124800">
    <w:abstractNumId w:val="27"/>
  </w:num>
  <w:num w:numId="32" w16cid:durableId="445008150">
    <w:abstractNumId w:val="23"/>
  </w:num>
  <w:num w:numId="33" w16cid:durableId="1971206391">
    <w:abstractNumId w:val="34"/>
  </w:num>
  <w:num w:numId="34" w16cid:durableId="7778688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6366392">
    <w:abstractNumId w:val="25"/>
  </w:num>
  <w:num w:numId="36" w16cid:durableId="1787001007">
    <w:abstractNumId w:val="18"/>
  </w:num>
  <w:num w:numId="37" w16cid:durableId="717896055">
    <w:abstractNumId w:val="21"/>
  </w:num>
  <w:num w:numId="38" w16cid:durableId="1010110218">
    <w:abstractNumId w:val="42"/>
  </w:num>
  <w:num w:numId="39" w16cid:durableId="212933454">
    <w:abstractNumId w:val="5"/>
  </w:num>
  <w:num w:numId="40" w16cid:durableId="1776291585">
    <w:abstractNumId w:val="24"/>
  </w:num>
  <w:num w:numId="41" w16cid:durableId="1414084949">
    <w:abstractNumId w:val="0"/>
  </w:num>
  <w:num w:numId="42" w16cid:durableId="491651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6718756">
    <w:abstractNumId w:val="37"/>
    <w:lvlOverride w:ilvl="0"/>
    <w:lvlOverride w:ilvl="1"/>
    <w:lvlOverride w:ilvl="2"/>
    <w:lvlOverride w:ilvl="3"/>
    <w:lvlOverride w:ilvl="4"/>
    <w:lvlOverride w:ilvl="5"/>
    <w:lvlOverride w:ilvl="6"/>
    <w:lvlOverride w:ilvl="7"/>
    <w:lvlOverride w:ilvl="8"/>
  </w:num>
  <w:num w:numId="44" w16cid:durableId="798036108">
    <w:abstractNumId w:val="22"/>
    <w:lvlOverride w:ilvl="0"/>
    <w:lvlOverride w:ilvl="1"/>
    <w:lvlOverride w:ilvl="2"/>
    <w:lvlOverride w:ilvl="3"/>
    <w:lvlOverride w:ilvl="4"/>
    <w:lvlOverride w:ilvl="5"/>
    <w:lvlOverride w:ilvl="6"/>
    <w:lvlOverride w:ilvl="7"/>
    <w:lvlOverride w:ilvl="8"/>
  </w:num>
  <w:num w:numId="45" w16cid:durableId="916015394">
    <w:abstractNumId w:val="3"/>
    <w:lvlOverride w:ilvl="0"/>
    <w:lvlOverride w:ilvl="1"/>
    <w:lvlOverride w:ilvl="2"/>
    <w:lvlOverride w:ilvl="3"/>
    <w:lvlOverride w:ilvl="4"/>
    <w:lvlOverride w:ilvl="5"/>
    <w:lvlOverride w:ilvl="6"/>
    <w:lvlOverride w:ilvl="7"/>
    <w:lvlOverride w:ilvl="8"/>
  </w:num>
  <w:num w:numId="46" w16cid:durableId="54746473">
    <w:abstractNumId w:val="32"/>
    <w:lvlOverride w:ilvl="0"/>
    <w:lvlOverride w:ilvl="1"/>
    <w:lvlOverride w:ilvl="2"/>
    <w:lvlOverride w:ilvl="3"/>
    <w:lvlOverride w:ilvl="4"/>
    <w:lvlOverride w:ilvl="5"/>
    <w:lvlOverride w:ilvl="6"/>
    <w:lvlOverride w:ilvl="7"/>
    <w:lvlOverride w:ilvl="8"/>
  </w:num>
  <w:num w:numId="47" w16cid:durableId="477309214">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2762F"/>
    <w:rsid w:val="00033893"/>
    <w:rsid w:val="00035B5D"/>
    <w:rsid w:val="00035CE3"/>
    <w:rsid w:val="00035DB1"/>
    <w:rsid w:val="000559E4"/>
    <w:rsid w:val="00062EC4"/>
    <w:rsid w:val="00085857"/>
    <w:rsid w:val="00086A62"/>
    <w:rsid w:val="00092727"/>
    <w:rsid w:val="000A06A5"/>
    <w:rsid w:val="000A084F"/>
    <w:rsid w:val="000A29A4"/>
    <w:rsid w:val="000A2AF7"/>
    <w:rsid w:val="000A72F2"/>
    <w:rsid w:val="000B207D"/>
    <w:rsid w:val="000B20AE"/>
    <w:rsid w:val="000D08C8"/>
    <w:rsid w:val="000D232E"/>
    <w:rsid w:val="000E01B2"/>
    <w:rsid w:val="000F1A86"/>
    <w:rsid w:val="00104443"/>
    <w:rsid w:val="00106D84"/>
    <w:rsid w:val="001104DA"/>
    <w:rsid w:val="001127A4"/>
    <w:rsid w:val="001262FA"/>
    <w:rsid w:val="0013198D"/>
    <w:rsid w:val="00132839"/>
    <w:rsid w:val="001359E6"/>
    <w:rsid w:val="0014150E"/>
    <w:rsid w:val="00192F1F"/>
    <w:rsid w:val="00196F47"/>
    <w:rsid w:val="001A7D6A"/>
    <w:rsid w:val="001B5D8C"/>
    <w:rsid w:val="001B7128"/>
    <w:rsid w:val="001D6A7A"/>
    <w:rsid w:val="001E0082"/>
    <w:rsid w:val="001F00C8"/>
    <w:rsid w:val="002056D1"/>
    <w:rsid w:val="00211BB4"/>
    <w:rsid w:val="002217BF"/>
    <w:rsid w:val="00222E07"/>
    <w:rsid w:val="00230B82"/>
    <w:rsid w:val="00240AAF"/>
    <w:rsid w:val="00241DFC"/>
    <w:rsid w:val="00253DD3"/>
    <w:rsid w:val="00255C0E"/>
    <w:rsid w:val="00257DB2"/>
    <w:rsid w:val="00274DD0"/>
    <w:rsid w:val="00283025"/>
    <w:rsid w:val="002858CD"/>
    <w:rsid w:val="0029359B"/>
    <w:rsid w:val="002B7C4D"/>
    <w:rsid w:val="002D0297"/>
    <w:rsid w:val="002E337B"/>
    <w:rsid w:val="002E60A0"/>
    <w:rsid w:val="003011E5"/>
    <w:rsid w:val="003025B1"/>
    <w:rsid w:val="00303866"/>
    <w:rsid w:val="0030489E"/>
    <w:rsid w:val="003059AE"/>
    <w:rsid w:val="003075D7"/>
    <w:rsid w:val="00320C4A"/>
    <w:rsid w:val="003212CD"/>
    <w:rsid w:val="00363163"/>
    <w:rsid w:val="00363924"/>
    <w:rsid w:val="00364325"/>
    <w:rsid w:val="0036435E"/>
    <w:rsid w:val="003655DA"/>
    <w:rsid w:val="00375698"/>
    <w:rsid w:val="00395437"/>
    <w:rsid w:val="003A2737"/>
    <w:rsid w:val="003A5A43"/>
    <w:rsid w:val="003D39E2"/>
    <w:rsid w:val="003D5316"/>
    <w:rsid w:val="003F2331"/>
    <w:rsid w:val="00406D43"/>
    <w:rsid w:val="0042274C"/>
    <w:rsid w:val="00430871"/>
    <w:rsid w:val="0043572F"/>
    <w:rsid w:val="00445F2A"/>
    <w:rsid w:val="004605FC"/>
    <w:rsid w:val="00475CED"/>
    <w:rsid w:val="0049115E"/>
    <w:rsid w:val="00492672"/>
    <w:rsid w:val="004A0C6B"/>
    <w:rsid w:val="004A462D"/>
    <w:rsid w:val="004A5E97"/>
    <w:rsid w:val="004C194E"/>
    <w:rsid w:val="004C1E64"/>
    <w:rsid w:val="004C492A"/>
    <w:rsid w:val="004E4266"/>
    <w:rsid w:val="004F0FD6"/>
    <w:rsid w:val="005023C0"/>
    <w:rsid w:val="005118D9"/>
    <w:rsid w:val="00524F85"/>
    <w:rsid w:val="00525367"/>
    <w:rsid w:val="00541D63"/>
    <w:rsid w:val="00560A9D"/>
    <w:rsid w:val="005636C3"/>
    <w:rsid w:val="0056601F"/>
    <w:rsid w:val="00570C4F"/>
    <w:rsid w:val="00572EFC"/>
    <w:rsid w:val="005756F4"/>
    <w:rsid w:val="00580D57"/>
    <w:rsid w:val="0058418D"/>
    <w:rsid w:val="00596481"/>
    <w:rsid w:val="005A5CA9"/>
    <w:rsid w:val="005A5F34"/>
    <w:rsid w:val="005C61DD"/>
    <w:rsid w:val="005D409E"/>
    <w:rsid w:val="005E42BB"/>
    <w:rsid w:val="00603339"/>
    <w:rsid w:val="00611783"/>
    <w:rsid w:val="00615EA1"/>
    <w:rsid w:val="006275ED"/>
    <w:rsid w:val="00644027"/>
    <w:rsid w:val="00656032"/>
    <w:rsid w:val="00656568"/>
    <w:rsid w:val="006567D3"/>
    <w:rsid w:val="00670B6C"/>
    <w:rsid w:val="00671CF3"/>
    <w:rsid w:val="006771EB"/>
    <w:rsid w:val="00684CEA"/>
    <w:rsid w:val="006A2DD0"/>
    <w:rsid w:val="006A3C06"/>
    <w:rsid w:val="006B286F"/>
    <w:rsid w:val="006B6964"/>
    <w:rsid w:val="006F1214"/>
    <w:rsid w:val="007077E6"/>
    <w:rsid w:val="00730A94"/>
    <w:rsid w:val="00751828"/>
    <w:rsid w:val="00766FE1"/>
    <w:rsid w:val="00774C4F"/>
    <w:rsid w:val="007853CA"/>
    <w:rsid w:val="00790F2A"/>
    <w:rsid w:val="007A25F7"/>
    <w:rsid w:val="007A26A4"/>
    <w:rsid w:val="007A6723"/>
    <w:rsid w:val="007C44E1"/>
    <w:rsid w:val="007C695A"/>
    <w:rsid w:val="007E3D8C"/>
    <w:rsid w:val="007E7264"/>
    <w:rsid w:val="0080465D"/>
    <w:rsid w:val="00804B65"/>
    <w:rsid w:val="00813658"/>
    <w:rsid w:val="00814022"/>
    <w:rsid w:val="00814861"/>
    <w:rsid w:val="00817247"/>
    <w:rsid w:val="008173EB"/>
    <w:rsid w:val="008235B2"/>
    <w:rsid w:val="008238F8"/>
    <w:rsid w:val="0082719F"/>
    <w:rsid w:val="00841BB8"/>
    <w:rsid w:val="00843AD1"/>
    <w:rsid w:val="00845C18"/>
    <w:rsid w:val="00860937"/>
    <w:rsid w:val="00861E00"/>
    <w:rsid w:val="00863156"/>
    <w:rsid w:val="008B1DDC"/>
    <w:rsid w:val="008C595A"/>
    <w:rsid w:val="008D0E69"/>
    <w:rsid w:val="008D1BDC"/>
    <w:rsid w:val="008D2C33"/>
    <w:rsid w:val="008D74A2"/>
    <w:rsid w:val="008E5820"/>
    <w:rsid w:val="00901131"/>
    <w:rsid w:val="009061D8"/>
    <w:rsid w:val="00912D02"/>
    <w:rsid w:val="00914CFD"/>
    <w:rsid w:val="009157F1"/>
    <w:rsid w:val="00926A48"/>
    <w:rsid w:val="00940829"/>
    <w:rsid w:val="00951704"/>
    <w:rsid w:val="009519A7"/>
    <w:rsid w:val="00952F4D"/>
    <w:rsid w:val="00957587"/>
    <w:rsid w:val="00961636"/>
    <w:rsid w:val="0096317F"/>
    <w:rsid w:val="00967D6D"/>
    <w:rsid w:val="00970566"/>
    <w:rsid w:val="0097094B"/>
    <w:rsid w:val="00973713"/>
    <w:rsid w:val="00980782"/>
    <w:rsid w:val="00982FEC"/>
    <w:rsid w:val="00994F4D"/>
    <w:rsid w:val="009A01ED"/>
    <w:rsid w:val="009A0641"/>
    <w:rsid w:val="009B730E"/>
    <w:rsid w:val="009C2019"/>
    <w:rsid w:val="009C40D4"/>
    <w:rsid w:val="009E12A8"/>
    <w:rsid w:val="009E18AF"/>
    <w:rsid w:val="009F1866"/>
    <w:rsid w:val="009F60D3"/>
    <w:rsid w:val="00A0057A"/>
    <w:rsid w:val="00A06AB4"/>
    <w:rsid w:val="00A121EA"/>
    <w:rsid w:val="00A330C0"/>
    <w:rsid w:val="00A3337D"/>
    <w:rsid w:val="00A60A7E"/>
    <w:rsid w:val="00A61402"/>
    <w:rsid w:val="00A62759"/>
    <w:rsid w:val="00A6439E"/>
    <w:rsid w:val="00A77BCE"/>
    <w:rsid w:val="00A817FD"/>
    <w:rsid w:val="00A92DF7"/>
    <w:rsid w:val="00AC2793"/>
    <w:rsid w:val="00AC614F"/>
    <w:rsid w:val="00AD09E1"/>
    <w:rsid w:val="00AF5376"/>
    <w:rsid w:val="00B00091"/>
    <w:rsid w:val="00B02210"/>
    <w:rsid w:val="00B0651A"/>
    <w:rsid w:val="00B1004B"/>
    <w:rsid w:val="00B16D18"/>
    <w:rsid w:val="00B22341"/>
    <w:rsid w:val="00B22FD4"/>
    <w:rsid w:val="00B244E2"/>
    <w:rsid w:val="00B25BF1"/>
    <w:rsid w:val="00B25ECE"/>
    <w:rsid w:val="00B42D4D"/>
    <w:rsid w:val="00B4660A"/>
    <w:rsid w:val="00B51EFB"/>
    <w:rsid w:val="00B56707"/>
    <w:rsid w:val="00B65E5D"/>
    <w:rsid w:val="00B74814"/>
    <w:rsid w:val="00B87AC6"/>
    <w:rsid w:val="00BB4C09"/>
    <w:rsid w:val="00BB57F3"/>
    <w:rsid w:val="00BC2761"/>
    <w:rsid w:val="00BD73D6"/>
    <w:rsid w:val="00BE0C42"/>
    <w:rsid w:val="00BF152F"/>
    <w:rsid w:val="00BF4F1F"/>
    <w:rsid w:val="00C020FE"/>
    <w:rsid w:val="00C0673F"/>
    <w:rsid w:val="00C1346E"/>
    <w:rsid w:val="00C2563F"/>
    <w:rsid w:val="00C26074"/>
    <w:rsid w:val="00C34E7E"/>
    <w:rsid w:val="00C56166"/>
    <w:rsid w:val="00C57854"/>
    <w:rsid w:val="00C57AA3"/>
    <w:rsid w:val="00C6573D"/>
    <w:rsid w:val="00C73B7C"/>
    <w:rsid w:val="00C761D0"/>
    <w:rsid w:val="00C8078E"/>
    <w:rsid w:val="00C85181"/>
    <w:rsid w:val="00C85E90"/>
    <w:rsid w:val="00C96674"/>
    <w:rsid w:val="00C978F9"/>
    <w:rsid w:val="00CA3561"/>
    <w:rsid w:val="00CC6BE5"/>
    <w:rsid w:val="00CC725E"/>
    <w:rsid w:val="00CC7479"/>
    <w:rsid w:val="00CD4143"/>
    <w:rsid w:val="00CD4CF6"/>
    <w:rsid w:val="00CD5A8B"/>
    <w:rsid w:val="00CE2933"/>
    <w:rsid w:val="00CE67CD"/>
    <w:rsid w:val="00CF5BB7"/>
    <w:rsid w:val="00CF732B"/>
    <w:rsid w:val="00D04B6B"/>
    <w:rsid w:val="00D04C0C"/>
    <w:rsid w:val="00D26FB6"/>
    <w:rsid w:val="00D30BCC"/>
    <w:rsid w:val="00D47063"/>
    <w:rsid w:val="00D4741B"/>
    <w:rsid w:val="00D5261A"/>
    <w:rsid w:val="00D660EB"/>
    <w:rsid w:val="00D77DC7"/>
    <w:rsid w:val="00D82FB1"/>
    <w:rsid w:val="00DA2A43"/>
    <w:rsid w:val="00DA5A31"/>
    <w:rsid w:val="00DC2451"/>
    <w:rsid w:val="00DC72E5"/>
    <w:rsid w:val="00DF3CEC"/>
    <w:rsid w:val="00E25725"/>
    <w:rsid w:val="00E40B3F"/>
    <w:rsid w:val="00E452DB"/>
    <w:rsid w:val="00E4591D"/>
    <w:rsid w:val="00E51610"/>
    <w:rsid w:val="00E51C10"/>
    <w:rsid w:val="00E52B17"/>
    <w:rsid w:val="00E546D6"/>
    <w:rsid w:val="00E6202E"/>
    <w:rsid w:val="00E6239B"/>
    <w:rsid w:val="00E63453"/>
    <w:rsid w:val="00E81B71"/>
    <w:rsid w:val="00E82791"/>
    <w:rsid w:val="00E93FF9"/>
    <w:rsid w:val="00EA11FA"/>
    <w:rsid w:val="00EA34CF"/>
    <w:rsid w:val="00EB2B78"/>
    <w:rsid w:val="00EC21CA"/>
    <w:rsid w:val="00EC6915"/>
    <w:rsid w:val="00ED76B9"/>
    <w:rsid w:val="00EE2251"/>
    <w:rsid w:val="00EF46D3"/>
    <w:rsid w:val="00F11F67"/>
    <w:rsid w:val="00F20AC5"/>
    <w:rsid w:val="00F24597"/>
    <w:rsid w:val="00F26E62"/>
    <w:rsid w:val="00F3087B"/>
    <w:rsid w:val="00F474E1"/>
    <w:rsid w:val="00F51171"/>
    <w:rsid w:val="00F547F3"/>
    <w:rsid w:val="00F54C0E"/>
    <w:rsid w:val="00F55FE2"/>
    <w:rsid w:val="00F915F6"/>
    <w:rsid w:val="00F94C72"/>
    <w:rsid w:val="00FA3359"/>
    <w:rsid w:val="00FA7AB1"/>
    <w:rsid w:val="00FA7C7B"/>
    <w:rsid w:val="00FB3AE2"/>
    <w:rsid w:val="00FD147D"/>
    <w:rsid w:val="00FD38B4"/>
    <w:rsid w:val="00FD6D46"/>
    <w:rsid w:val="00FE2180"/>
    <w:rsid w:val="00FF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18"/>
    <w:pPr>
      <w:spacing w:after="0" w:line="240" w:lineRule="auto"/>
    </w:pPr>
    <w:rPr>
      <w:rFonts w:ascii="Calibri" w:hAnsi="Calibri" w:cs="Calibri"/>
    </w:rPr>
  </w:style>
  <w:style w:type="paragraph" w:styleId="Heading1">
    <w:name w:val="heading 1"/>
    <w:basedOn w:val="Normal"/>
    <w:next w:val="Normal"/>
    <w:link w:val="Heading1Char"/>
    <w:uiPriority w:val="9"/>
    <w:qFormat/>
    <w:rsid w:val="000E01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character" w:styleId="Hyperlink">
    <w:name w:val="Hyperlink"/>
    <w:basedOn w:val="DefaultParagraphFont"/>
    <w:uiPriority w:val="99"/>
    <w:semiHidden/>
    <w:unhideWhenUsed/>
    <w:rsid w:val="00240AAF"/>
    <w:rPr>
      <w:color w:val="0000FF"/>
      <w:u w:val="single"/>
    </w:rPr>
  </w:style>
  <w:style w:type="paragraph" w:styleId="NormalWeb">
    <w:name w:val="Normal (Web)"/>
    <w:basedOn w:val="Normal"/>
    <w:uiPriority w:val="99"/>
    <w:semiHidden/>
    <w:unhideWhenUsed/>
    <w:rsid w:val="00240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4394">
      <w:bodyDiv w:val="1"/>
      <w:marLeft w:val="0"/>
      <w:marRight w:val="0"/>
      <w:marTop w:val="0"/>
      <w:marBottom w:val="0"/>
      <w:divBdr>
        <w:top w:val="none" w:sz="0" w:space="0" w:color="auto"/>
        <w:left w:val="none" w:sz="0" w:space="0" w:color="auto"/>
        <w:bottom w:val="none" w:sz="0" w:space="0" w:color="auto"/>
        <w:right w:val="none" w:sz="0" w:space="0" w:color="auto"/>
      </w:divBdr>
    </w:div>
    <w:div w:id="935750480">
      <w:bodyDiv w:val="1"/>
      <w:marLeft w:val="0"/>
      <w:marRight w:val="0"/>
      <w:marTop w:val="0"/>
      <w:marBottom w:val="0"/>
      <w:divBdr>
        <w:top w:val="none" w:sz="0" w:space="0" w:color="auto"/>
        <w:left w:val="none" w:sz="0" w:space="0" w:color="auto"/>
        <w:bottom w:val="none" w:sz="0" w:space="0" w:color="auto"/>
        <w:right w:val="none" w:sz="0" w:space="0" w:color="auto"/>
      </w:divBdr>
      <w:divsChild>
        <w:div w:id="93285581">
          <w:marLeft w:val="360"/>
          <w:marRight w:val="0"/>
          <w:marTop w:val="200"/>
          <w:marBottom w:val="0"/>
          <w:divBdr>
            <w:top w:val="none" w:sz="0" w:space="0" w:color="auto"/>
            <w:left w:val="none" w:sz="0" w:space="0" w:color="auto"/>
            <w:bottom w:val="none" w:sz="0" w:space="0" w:color="auto"/>
            <w:right w:val="none" w:sz="0" w:space="0" w:color="auto"/>
          </w:divBdr>
        </w:div>
        <w:div w:id="794173679">
          <w:marLeft w:val="1080"/>
          <w:marRight w:val="0"/>
          <w:marTop w:val="100"/>
          <w:marBottom w:val="0"/>
          <w:divBdr>
            <w:top w:val="none" w:sz="0" w:space="0" w:color="auto"/>
            <w:left w:val="none" w:sz="0" w:space="0" w:color="auto"/>
            <w:bottom w:val="none" w:sz="0" w:space="0" w:color="auto"/>
            <w:right w:val="none" w:sz="0" w:space="0" w:color="auto"/>
          </w:divBdr>
        </w:div>
        <w:div w:id="2049378865">
          <w:marLeft w:val="1080"/>
          <w:marRight w:val="0"/>
          <w:marTop w:val="100"/>
          <w:marBottom w:val="0"/>
          <w:divBdr>
            <w:top w:val="none" w:sz="0" w:space="0" w:color="auto"/>
            <w:left w:val="none" w:sz="0" w:space="0" w:color="auto"/>
            <w:bottom w:val="none" w:sz="0" w:space="0" w:color="auto"/>
            <w:right w:val="none" w:sz="0" w:space="0" w:color="auto"/>
          </w:divBdr>
        </w:div>
        <w:div w:id="376316127">
          <w:marLeft w:val="1080"/>
          <w:marRight w:val="0"/>
          <w:marTop w:val="100"/>
          <w:marBottom w:val="0"/>
          <w:divBdr>
            <w:top w:val="none" w:sz="0" w:space="0" w:color="auto"/>
            <w:left w:val="none" w:sz="0" w:space="0" w:color="auto"/>
            <w:bottom w:val="none" w:sz="0" w:space="0" w:color="auto"/>
            <w:right w:val="none" w:sz="0" w:space="0" w:color="auto"/>
          </w:divBdr>
        </w:div>
        <w:div w:id="794639013">
          <w:marLeft w:val="1800"/>
          <w:marRight w:val="0"/>
          <w:marTop w:val="100"/>
          <w:marBottom w:val="0"/>
          <w:divBdr>
            <w:top w:val="none" w:sz="0" w:space="0" w:color="auto"/>
            <w:left w:val="none" w:sz="0" w:space="0" w:color="auto"/>
            <w:bottom w:val="none" w:sz="0" w:space="0" w:color="auto"/>
            <w:right w:val="none" w:sz="0" w:space="0" w:color="auto"/>
          </w:divBdr>
        </w:div>
        <w:div w:id="350691063">
          <w:marLeft w:val="1800"/>
          <w:marRight w:val="0"/>
          <w:marTop w:val="100"/>
          <w:marBottom w:val="0"/>
          <w:divBdr>
            <w:top w:val="none" w:sz="0" w:space="0" w:color="auto"/>
            <w:left w:val="none" w:sz="0" w:space="0" w:color="auto"/>
            <w:bottom w:val="none" w:sz="0" w:space="0" w:color="auto"/>
            <w:right w:val="none" w:sz="0" w:space="0" w:color="auto"/>
          </w:divBdr>
        </w:div>
        <w:div w:id="1546985902">
          <w:marLeft w:val="1800"/>
          <w:marRight w:val="0"/>
          <w:marTop w:val="100"/>
          <w:marBottom w:val="0"/>
          <w:divBdr>
            <w:top w:val="none" w:sz="0" w:space="0" w:color="auto"/>
            <w:left w:val="none" w:sz="0" w:space="0" w:color="auto"/>
            <w:bottom w:val="none" w:sz="0" w:space="0" w:color="auto"/>
            <w:right w:val="none" w:sz="0" w:space="0" w:color="auto"/>
          </w:divBdr>
        </w:div>
        <w:div w:id="1956062399">
          <w:marLeft w:val="1800"/>
          <w:marRight w:val="0"/>
          <w:marTop w:val="100"/>
          <w:marBottom w:val="0"/>
          <w:divBdr>
            <w:top w:val="none" w:sz="0" w:space="0" w:color="auto"/>
            <w:left w:val="none" w:sz="0" w:space="0" w:color="auto"/>
            <w:bottom w:val="none" w:sz="0" w:space="0" w:color="auto"/>
            <w:right w:val="none" w:sz="0" w:space="0" w:color="auto"/>
          </w:divBdr>
        </w:div>
        <w:div w:id="1108040516">
          <w:marLeft w:val="1080"/>
          <w:marRight w:val="0"/>
          <w:marTop w:val="100"/>
          <w:marBottom w:val="0"/>
          <w:divBdr>
            <w:top w:val="none" w:sz="0" w:space="0" w:color="auto"/>
            <w:left w:val="none" w:sz="0" w:space="0" w:color="auto"/>
            <w:bottom w:val="none" w:sz="0" w:space="0" w:color="auto"/>
            <w:right w:val="none" w:sz="0" w:space="0" w:color="auto"/>
          </w:divBdr>
        </w:div>
        <w:div w:id="1440833911">
          <w:marLeft w:val="1080"/>
          <w:marRight w:val="0"/>
          <w:marTop w:val="100"/>
          <w:marBottom w:val="0"/>
          <w:divBdr>
            <w:top w:val="none" w:sz="0" w:space="0" w:color="auto"/>
            <w:left w:val="none" w:sz="0" w:space="0" w:color="auto"/>
            <w:bottom w:val="none" w:sz="0" w:space="0" w:color="auto"/>
            <w:right w:val="none" w:sz="0" w:space="0" w:color="auto"/>
          </w:divBdr>
        </w:div>
      </w:divsChild>
    </w:div>
    <w:div w:id="995499442">
      <w:bodyDiv w:val="1"/>
      <w:marLeft w:val="0"/>
      <w:marRight w:val="0"/>
      <w:marTop w:val="0"/>
      <w:marBottom w:val="0"/>
      <w:divBdr>
        <w:top w:val="none" w:sz="0" w:space="0" w:color="auto"/>
        <w:left w:val="none" w:sz="0" w:space="0" w:color="auto"/>
        <w:bottom w:val="none" w:sz="0" w:space="0" w:color="auto"/>
        <w:right w:val="none" w:sz="0" w:space="0" w:color="auto"/>
      </w:divBdr>
    </w:div>
    <w:div w:id="1431271739">
      <w:bodyDiv w:val="1"/>
      <w:marLeft w:val="0"/>
      <w:marRight w:val="0"/>
      <w:marTop w:val="0"/>
      <w:marBottom w:val="0"/>
      <w:divBdr>
        <w:top w:val="none" w:sz="0" w:space="0" w:color="auto"/>
        <w:left w:val="none" w:sz="0" w:space="0" w:color="auto"/>
        <w:bottom w:val="none" w:sz="0" w:space="0" w:color="auto"/>
        <w:right w:val="none" w:sz="0" w:space="0" w:color="auto"/>
      </w:divBdr>
    </w:div>
    <w:div w:id="1629773492">
      <w:bodyDiv w:val="1"/>
      <w:marLeft w:val="0"/>
      <w:marRight w:val="0"/>
      <w:marTop w:val="0"/>
      <w:marBottom w:val="0"/>
      <w:divBdr>
        <w:top w:val="none" w:sz="0" w:space="0" w:color="auto"/>
        <w:left w:val="none" w:sz="0" w:space="0" w:color="auto"/>
        <w:bottom w:val="none" w:sz="0" w:space="0" w:color="auto"/>
        <w:right w:val="none" w:sz="0" w:space="0" w:color="auto"/>
      </w:divBdr>
    </w:div>
    <w:div w:id="2102018392">
      <w:bodyDiv w:val="1"/>
      <w:marLeft w:val="0"/>
      <w:marRight w:val="0"/>
      <w:marTop w:val="0"/>
      <w:marBottom w:val="0"/>
      <w:divBdr>
        <w:top w:val="none" w:sz="0" w:space="0" w:color="auto"/>
        <w:left w:val="none" w:sz="0" w:space="0" w:color="auto"/>
        <w:bottom w:val="none" w:sz="0" w:space="0" w:color="auto"/>
        <w:right w:val="none" w:sz="0" w:space="0" w:color="auto"/>
      </w:divBdr>
      <w:divsChild>
        <w:div w:id="896473070">
          <w:marLeft w:val="360"/>
          <w:marRight w:val="0"/>
          <w:marTop w:val="200"/>
          <w:marBottom w:val="0"/>
          <w:divBdr>
            <w:top w:val="none" w:sz="0" w:space="0" w:color="auto"/>
            <w:left w:val="none" w:sz="0" w:space="0" w:color="auto"/>
            <w:bottom w:val="none" w:sz="0" w:space="0" w:color="auto"/>
            <w:right w:val="none" w:sz="0" w:space="0" w:color="auto"/>
          </w:divBdr>
        </w:div>
        <w:div w:id="864370110">
          <w:marLeft w:val="360"/>
          <w:marRight w:val="0"/>
          <w:marTop w:val="200"/>
          <w:marBottom w:val="0"/>
          <w:divBdr>
            <w:top w:val="none" w:sz="0" w:space="0" w:color="auto"/>
            <w:left w:val="none" w:sz="0" w:space="0" w:color="auto"/>
            <w:bottom w:val="none" w:sz="0" w:space="0" w:color="auto"/>
            <w:right w:val="none" w:sz="0" w:space="0" w:color="auto"/>
          </w:divBdr>
        </w:div>
        <w:div w:id="1511791867">
          <w:marLeft w:val="360"/>
          <w:marRight w:val="0"/>
          <w:marTop w:val="200"/>
          <w:marBottom w:val="0"/>
          <w:divBdr>
            <w:top w:val="none" w:sz="0" w:space="0" w:color="auto"/>
            <w:left w:val="none" w:sz="0" w:space="0" w:color="auto"/>
            <w:bottom w:val="none" w:sz="0" w:space="0" w:color="auto"/>
            <w:right w:val="none" w:sz="0" w:space="0" w:color="auto"/>
          </w:divBdr>
        </w:div>
        <w:div w:id="481585064">
          <w:marLeft w:val="1080"/>
          <w:marRight w:val="0"/>
          <w:marTop w:val="100"/>
          <w:marBottom w:val="0"/>
          <w:divBdr>
            <w:top w:val="none" w:sz="0" w:space="0" w:color="auto"/>
            <w:left w:val="none" w:sz="0" w:space="0" w:color="auto"/>
            <w:bottom w:val="none" w:sz="0" w:space="0" w:color="auto"/>
            <w:right w:val="none" w:sz="0" w:space="0" w:color="auto"/>
          </w:divBdr>
        </w:div>
        <w:div w:id="1251619636">
          <w:marLeft w:val="1080"/>
          <w:marRight w:val="0"/>
          <w:marTop w:val="100"/>
          <w:marBottom w:val="0"/>
          <w:divBdr>
            <w:top w:val="none" w:sz="0" w:space="0" w:color="auto"/>
            <w:left w:val="none" w:sz="0" w:space="0" w:color="auto"/>
            <w:bottom w:val="none" w:sz="0" w:space="0" w:color="auto"/>
            <w:right w:val="none" w:sz="0" w:space="0" w:color="auto"/>
          </w:divBdr>
        </w:div>
        <w:div w:id="160198282">
          <w:marLeft w:val="1080"/>
          <w:marRight w:val="0"/>
          <w:marTop w:val="100"/>
          <w:marBottom w:val="0"/>
          <w:divBdr>
            <w:top w:val="none" w:sz="0" w:space="0" w:color="auto"/>
            <w:left w:val="none" w:sz="0" w:space="0" w:color="auto"/>
            <w:bottom w:val="none" w:sz="0" w:space="0" w:color="auto"/>
            <w:right w:val="none" w:sz="0" w:space="0" w:color="auto"/>
          </w:divBdr>
        </w:div>
        <w:div w:id="5381833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an.Meenan@vermont.gov" TargetMode="External"/><Relationship Id="rId18" Type="http://schemas.openxmlformats.org/officeDocument/2006/relationships/hyperlink" Target="mailto:bpeete@montpelier-vt.org" TargetMode="External"/><Relationship Id="rId26" Type="http://schemas.openxmlformats.org/officeDocument/2006/relationships/hyperlink" Target="mailto:lauren.hibbert@vermont.gov" TargetMode="External"/><Relationship Id="rId3" Type="http://schemas.openxmlformats.org/officeDocument/2006/relationships/customXml" Target="../customXml/item3.xml"/><Relationship Id="rId21" Type="http://schemas.openxmlformats.org/officeDocument/2006/relationships/hyperlink" Target="mailto:Heather.Simons@vermont.go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png@01D8CE95.F2226920" TargetMode="External"/><Relationship Id="rId17" Type="http://schemas.openxmlformats.org/officeDocument/2006/relationships/image" Target="cid:image002.png@01D8CE95.F2226920" TargetMode="External"/><Relationship Id="rId25" Type="http://schemas.openxmlformats.org/officeDocument/2006/relationships/hyperlink" Target="mailto:cparent@leg.state.vt.us" TargetMode="External"/><Relationship Id="rId33" Type="http://schemas.openxmlformats.org/officeDocument/2006/relationships/image" Target="cid:image003.png@01D8CE95.F222692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Erin.Jacobsen@vermont.gov" TargetMode="External"/><Relationship Id="rId29" Type="http://schemas.openxmlformats.org/officeDocument/2006/relationships/hyperlink" Target="mailto:Jennifer.Morrison@vermon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baruth@leg.state.vt.us"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manderso@windhamcountyvt.gov" TargetMode="External"/><Relationship Id="rId23" Type="http://schemas.openxmlformats.org/officeDocument/2006/relationships/hyperlink" Target="mailto:tburditt@leg.state.vt.us" TargetMode="External"/><Relationship Id="rId28" Type="http://schemas.openxmlformats.org/officeDocument/2006/relationships/hyperlink" Target="mailto:jay.greene@vermont.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ucker.Jones@vermont.gov" TargetMode="External"/><Relationship Id="rId31" Type="http://schemas.openxmlformats.org/officeDocument/2006/relationships/hyperlink" Target="https://data.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usana.Davis@vermont.gov" TargetMode="External"/><Relationship Id="rId22" Type="http://schemas.openxmlformats.org/officeDocument/2006/relationships/hyperlink" Target="mailto:kndolan@leg.state.vt.us" TargetMode="External"/><Relationship Id="rId27" Type="http://schemas.openxmlformats.org/officeDocument/2006/relationships/hyperlink" Target="mailto:Christopher.Brickell@vermont.gov" TargetMode="External"/><Relationship Id="rId30" Type="http://schemas.openxmlformats.org/officeDocument/2006/relationships/hyperlink" Target="mailto:Jennifer.Frank@vermont.gov"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2FACFF1FAA141A48D08BC696CF65B" ma:contentTypeVersion="16" ma:contentTypeDescription="Create a new document." ma:contentTypeScope="" ma:versionID="04d3d2c534cbffa68eaa99ace2fe4a0d">
  <xsd:schema xmlns:xsd="http://www.w3.org/2001/XMLSchema" xmlns:xs="http://www.w3.org/2001/XMLSchema" xmlns:p="http://schemas.microsoft.com/office/2006/metadata/properties" xmlns:ns1="http://schemas.microsoft.com/sharepoint/v3" xmlns:ns2="33d1a10b-835d-443b-9c3a-6b0fbcdd873f" xmlns:ns3="310dd576-570d-4ec5-80a7-11efebd025da" targetNamespace="http://schemas.microsoft.com/office/2006/metadata/properties" ma:root="true" ma:fieldsID="cd18b1ab73c2e96070376688e85b14f8" ns1:_="" ns2:_="" ns3:_="">
    <xsd:import namespace="http://schemas.microsoft.com/sharepoint/v3"/>
    <xsd:import namespace="33d1a10b-835d-443b-9c3a-6b0fbcdd873f"/>
    <xsd:import namespace="310dd576-570d-4ec5-80a7-11efebd02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a10b-835d-443b-9c3a-6b0fbcdd8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7fd7d-e94b-40a1-bf83-44365b9a9c0a}" ma:internalName="TaxCatchAll" ma:showField="CatchAllData" ma:web="33d1a10b-835d-443b-9c3a-6b0fbcdd87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dd576-570d-4ec5-80a7-11efebd02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3d1a10b-835d-443b-9c3a-6b0fbcdd873f" xsi:nil="true"/>
    <lcf76f155ced4ddcb4097134ff3c332f xmlns="310dd576-570d-4ec5-80a7-11efebd025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0245-E596-4A62-ACEF-F17F54ED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1a10b-835d-443b-9c3a-6b0fbcdd873f"/>
    <ds:schemaRef ds:uri="310dd576-570d-4ec5-80a7-11efebd02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81A2D-39DE-4623-A7FB-C1370BCBA8B6}">
  <ds:schemaRefs>
    <ds:schemaRef ds:uri="http://schemas.microsoft.com/office/2006/metadata/properties"/>
    <ds:schemaRef ds:uri="http://schemas.microsoft.com/office/infopath/2007/PartnerControls"/>
    <ds:schemaRef ds:uri="http://schemas.microsoft.com/sharepoint/v3"/>
    <ds:schemaRef ds:uri="33d1a10b-835d-443b-9c3a-6b0fbcdd873f"/>
    <ds:schemaRef ds:uri="310dd576-570d-4ec5-80a7-11efebd025da"/>
  </ds:schemaRefs>
</ds:datastoreItem>
</file>

<file path=customXml/itemProps3.xml><?xml version="1.0" encoding="utf-8"?>
<ds:datastoreItem xmlns:ds="http://schemas.openxmlformats.org/officeDocument/2006/customXml" ds:itemID="{D72EBBEE-E3AD-4040-9ABF-51B761B7A7F8}">
  <ds:schemaRefs>
    <ds:schemaRef ds:uri="http://schemas.microsoft.com/sharepoint/v3/contenttype/forms"/>
  </ds:schemaRefs>
</ds:datastoreItem>
</file>

<file path=customXml/itemProps4.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1549</Words>
  <Characters>8768</Characters>
  <Application>Microsoft Office Word</Application>
  <DocSecurity>0</DocSecurity>
  <Lines>165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6</cp:revision>
  <dcterms:created xsi:type="dcterms:W3CDTF">2022-09-23T01:49:00Z</dcterms:created>
  <dcterms:modified xsi:type="dcterms:W3CDTF">2022-09-23T01:53:00Z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0x0101004982FACFF1FAA141A48D08BC696CF65B</vt:lpwstr>
  </property>
  <property fmtid="{D5CDD505-2E9C-101B-9397-08002B2CF9AE}" pid="3" name="MediaServiceImageTags">
    <vt:lpwstr/>
  </property>
  <property fmtid="{D5CDD505-2E9C-101B-9397-08002B2CF9AE}" pid="4" name="GrammarlyDocumentId">
    <vt:lpwstr>127c20104fac1a636ef10871304bbeae9e25281f3b320f4bdf49e476fd94b10a</vt:lpwstr>
  </property>
</Properties>
</file>